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A9260" w14:textId="77777777"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E9A92F4" wp14:editId="1E9A92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w14:anchorId="1E9A9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97pt" o:ole="">
            <v:imagedata r:id="rId12" o:title=""/>
          </v:shape>
          <o:OLEObject Type="Embed" ProgID="Imaging.Document" ShapeID="_x0000_i1025" DrawAspect="Content" ObjectID="_1674650218"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14:paraId="1E9A9262" w14:textId="77777777"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14:paraId="1E9A9271" w14:textId="77777777" w:rsidTr="00ED20C9">
        <w:tc>
          <w:tcPr>
            <w:tcW w:w="1908" w:type="dxa"/>
          </w:tcPr>
          <w:p w14:paraId="1E9A9263" w14:textId="77777777" w:rsid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14:paraId="3332EAA9" w14:textId="43612904" w:rsidR="007869C7" w:rsidRPr="007869C7" w:rsidRDefault="007869C7" w:rsidP="001F515A">
            <w:pPr>
              <w:rPr>
                <w:rFonts w:ascii="Arial" w:hAnsi="Arial" w:cs="Arial"/>
                <w:bCs/>
                <w:szCs w:val="20"/>
                <w:lang w:eastAsia="en-US"/>
              </w:rPr>
            </w:pPr>
            <w:r w:rsidRPr="007869C7">
              <w:rPr>
                <w:rFonts w:ascii="Arial" w:hAnsi="Arial" w:cs="Arial"/>
                <w:bCs/>
                <w:szCs w:val="20"/>
                <w:lang w:eastAsia="en-US"/>
              </w:rPr>
              <w:t xml:space="preserve">Regulatory Services and Community Safety </w:t>
            </w:r>
          </w:p>
          <w:p w14:paraId="1E9A9264" w14:textId="77777777" w:rsidR="001F515A" w:rsidRPr="001F515A" w:rsidRDefault="001F515A" w:rsidP="008878A1">
            <w:pPr>
              <w:rPr>
                <w:rFonts w:ascii="Arial" w:hAnsi="Arial" w:cs="Arial"/>
                <w:b/>
                <w:bCs/>
                <w:szCs w:val="20"/>
                <w:lang w:eastAsia="en-US"/>
              </w:rPr>
            </w:pPr>
          </w:p>
        </w:tc>
        <w:tc>
          <w:tcPr>
            <w:tcW w:w="610" w:type="dxa"/>
          </w:tcPr>
          <w:p w14:paraId="1E9A9265" w14:textId="77777777" w:rsidR="001F515A" w:rsidRPr="001F515A" w:rsidRDefault="001F515A" w:rsidP="001F515A">
            <w:pPr>
              <w:rPr>
                <w:rFonts w:ascii="Arial" w:hAnsi="Arial" w:cs="Arial"/>
                <w:b/>
                <w:bCs/>
                <w:szCs w:val="20"/>
                <w:lang w:eastAsia="en-US"/>
              </w:rPr>
            </w:pPr>
          </w:p>
        </w:tc>
        <w:tc>
          <w:tcPr>
            <w:tcW w:w="1701" w:type="dxa"/>
            <w:gridSpan w:val="2"/>
          </w:tcPr>
          <w:p w14:paraId="1E9A9266"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14:paraId="1E9A9267" w14:textId="3C073A8F" w:rsidR="001F515A" w:rsidRPr="007869C7" w:rsidRDefault="007869C7" w:rsidP="001F515A">
            <w:pPr>
              <w:rPr>
                <w:rFonts w:ascii="Arial" w:hAnsi="Arial" w:cs="Arial"/>
                <w:bCs/>
                <w:szCs w:val="20"/>
                <w:lang w:eastAsia="en-US"/>
              </w:rPr>
            </w:pPr>
            <w:r w:rsidRPr="007869C7">
              <w:rPr>
                <w:rFonts w:ascii="Arial" w:hAnsi="Arial" w:cs="Arial"/>
                <w:bCs/>
                <w:szCs w:val="20"/>
                <w:lang w:eastAsia="en-US"/>
              </w:rPr>
              <w:t xml:space="preserve">HMO Enforcement Team </w:t>
            </w:r>
          </w:p>
          <w:p w14:paraId="1E9A9268" w14:textId="77777777" w:rsidR="001F515A" w:rsidRPr="001F515A" w:rsidRDefault="001F515A" w:rsidP="001F515A">
            <w:pPr>
              <w:rPr>
                <w:rFonts w:ascii="Arial" w:hAnsi="Arial" w:cs="Arial"/>
                <w:b/>
                <w:bCs/>
                <w:szCs w:val="20"/>
                <w:lang w:eastAsia="en-US"/>
              </w:rPr>
            </w:pPr>
          </w:p>
        </w:tc>
        <w:tc>
          <w:tcPr>
            <w:tcW w:w="1829" w:type="dxa"/>
            <w:gridSpan w:val="2"/>
          </w:tcPr>
          <w:p w14:paraId="1E9A9269" w14:textId="77777777" w:rsid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14:paraId="7C5E4A6D" w14:textId="1A1590BA" w:rsidR="007869C7" w:rsidRPr="007869C7" w:rsidRDefault="00CF4F9C" w:rsidP="001F515A">
            <w:pPr>
              <w:rPr>
                <w:rFonts w:ascii="Arial" w:hAnsi="Arial" w:cs="Arial"/>
                <w:bCs/>
                <w:szCs w:val="20"/>
                <w:lang w:eastAsia="en-US"/>
              </w:rPr>
            </w:pPr>
            <w:r>
              <w:rPr>
                <w:rFonts w:ascii="Arial" w:hAnsi="Arial" w:cs="Arial"/>
                <w:bCs/>
                <w:szCs w:val="20"/>
                <w:lang w:eastAsia="en-US"/>
              </w:rPr>
              <w:t>November 2020</w:t>
            </w:r>
          </w:p>
          <w:p w14:paraId="1E9A926A" w14:textId="77777777" w:rsidR="001F515A" w:rsidRPr="001F515A" w:rsidRDefault="001F515A" w:rsidP="008878A1">
            <w:pPr>
              <w:rPr>
                <w:rFonts w:ascii="Arial" w:hAnsi="Arial" w:cs="Arial"/>
                <w:b/>
                <w:bCs/>
                <w:szCs w:val="20"/>
                <w:lang w:eastAsia="en-US"/>
              </w:rPr>
            </w:pPr>
          </w:p>
        </w:tc>
        <w:tc>
          <w:tcPr>
            <w:tcW w:w="3558" w:type="dxa"/>
            <w:gridSpan w:val="3"/>
          </w:tcPr>
          <w:p w14:paraId="1E9A926B"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14:paraId="1E9A926C" w14:textId="4F8F72D9" w:rsidR="001F515A" w:rsidRPr="007869C7" w:rsidRDefault="007869C7" w:rsidP="001F515A">
            <w:pPr>
              <w:rPr>
                <w:rFonts w:ascii="Arial" w:hAnsi="Arial" w:cs="Arial"/>
                <w:bCs/>
                <w:szCs w:val="20"/>
                <w:lang w:eastAsia="en-US"/>
              </w:rPr>
            </w:pPr>
            <w:r w:rsidRPr="007869C7">
              <w:rPr>
                <w:rFonts w:ascii="Arial" w:hAnsi="Arial" w:cs="Arial"/>
                <w:bCs/>
                <w:szCs w:val="20"/>
                <w:lang w:eastAsia="en-US"/>
              </w:rPr>
              <w:t xml:space="preserve">Gail Siddall </w:t>
            </w:r>
          </w:p>
          <w:p w14:paraId="1E9A926D" w14:textId="77777777" w:rsidR="001F515A" w:rsidRPr="001F515A" w:rsidRDefault="001F515A" w:rsidP="001F515A">
            <w:pPr>
              <w:rPr>
                <w:rFonts w:ascii="Arial" w:hAnsi="Arial" w:cs="Arial"/>
                <w:b/>
                <w:bCs/>
                <w:szCs w:val="20"/>
                <w:lang w:eastAsia="en-US"/>
              </w:rPr>
            </w:pPr>
          </w:p>
        </w:tc>
        <w:tc>
          <w:tcPr>
            <w:tcW w:w="5528" w:type="dxa"/>
            <w:gridSpan w:val="3"/>
          </w:tcPr>
          <w:p w14:paraId="1E9A926E"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14:paraId="1E9A926F" w14:textId="77777777" w:rsidR="001F515A" w:rsidRPr="001F515A" w:rsidRDefault="001F515A" w:rsidP="001F515A">
            <w:pPr>
              <w:rPr>
                <w:rFonts w:ascii="Arial" w:hAnsi="Arial" w:cs="Arial"/>
                <w:b/>
                <w:bCs/>
                <w:szCs w:val="20"/>
                <w:lang w:eastAsia="en-US"/>
              </w:rPr>
            </w:pPr>
          </w:p>
          <w:p w14:paraId="1E9A9270" w14:textId="77777777" w:rsidR="001F515A" w:rsidRPr="001F515A" w:rsidRDefault="001F515A" w:rsidP="002C293A">
            <w:pPr>
              <w:ind w:left="360"/>
              <w:rPr>
                <w:rFonts w:ascii="Arial" w:hAnsi="Arial" w:cs="Arial"/>
                <w:b/>
                <w:bCs/>
                <w:szCs w:val="20"/>
                <w:lang w:eastAsia="en-US"/>
              </w:rPr>
            </w:pPr>
          </w:p>
        </w:tc>
      </w:tr>
      <w:tr w:rsidR="001F515A" w:rsidRPr="001F515A" w14:paraId="1E9A9274" w14:textId="77777777" w:rsidTr="00ED20C9">
        <w:tc>
          <w:tcPr>
            <w:tcW w:w="4219" w:type="dxa"/>
            <w:gridSpan w:val="4"/>
          </w:tcPr>
          <w:p w14:paraId="1E9A9272" w14:textId="77777777"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14:paraId="1E9A9273" w14:textId="0ABD01DE" w:rsidR="001F515A" w:rsidRPr="0054009D" w:rsidRDefault="007869C7" w:rsidP="00CF4F9C">
            <w:pPr>
              <w:rPr>
                <w:rFonts w:ascii="Arial" w:hAnsi="Arial" w:cs="Arial"/>
                <w:szCs w:val="20"/>
                <w:lang w:eastAsia="en-US"/>
              </w:rPr>
            </w:pPr>
            <w:r>
              <w:rPr>
                <w:rFonts w:ascii="Arial" w:hAnsi="Arial" w:cs="Arial"/>
                <w:szCs w:val="20"/>
                <w:lang w:eastAsia="en-US"/>
              </w:rPr>
              <w:t>Re</w:t>
            </w:r>
            <w:r w:rsidR="00CF4F9C">
              <w:rPr>
                <w:rFonts w:ascii="Arial" w:hAnsi="Arial" w:cs="Arial"/>
                <w:szCs w:val="20"/>
                <w:lang w:eastAsia="en-US"/>
              </w:rPr>
              <w:t>newal</w:t>
            </w:r>
            <w:r>
              <w:rPr>
                <w:rFonts w:ascii="Arial" w:hAnsi="Arial" w:cs="Arial"/>
                <w:szCs w:val="20"/>
                <w:lang w:eastAsia="en-US"/>
              </w:rPr>
              <w:t xml:space="preserve"> of Additional HMO licensing scheme </w:t>
            </w:r>
          </w:p>
        </w:tc>
      </w:tr>
      <w:tr w:rsidR="0054009D" w:rsidRPr="001F515A" w14:paraId="1E9A9279" w14:textId="77777777" w:rsidTr="00ED20C9">
        <w:trPr>
          <w:trHeight w:val="96"/>
        </w:trPr>
        <w:tc>
          <w:tcPr>
            <w:tcW w:w="4219" w:type="dxa"/>
            <w:gridSpan w:val="4"/>
            <w:vMerge w:val="restart"/>
          </w:tcPr>
          <w:p w14:paraId="1E9A9275" w14:textId="77777777"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14:paraId="1E9A9276" w14:textId="77777777"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14:paraId="1E9A9277"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14:paraId="1E9A9278"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14:paraId="1E9A927E" w14:textId="77777777" w:rsidTr="00ED20C9">
        <w:tc>
          <w:tcPr>
            <w:tcW w:w="4219" w:type="dxa"/>
            <w:gridSpan w:val="4"/>
            <w:vMerge/>
          </w:tcPr>
          <w:p w14:paraId="1E9A927A" w14:textId="77777777" w:rsidR="0054009D" w:rsidRPr="001F515A" w:rsidRDefault="0054009D" w:rsidP="001F515A">
            <w:pPr>
              <w:rPr>
                <w:rFonts w:ascii="Arial" w:hAnsi="Arial" w:cs="Arial"/>
                <w:szCs w:val="20"/>
                <w:lang w:eastAsia="en-US"/>
              </w:rPr>
            </w:pPr>
          </w:p>
        </w:tc>
        <w:tc>
          <w:tcPr>
            <w:tcW w:w="3544" w:type="dxa"/>
            <w:gridSpan w:val="3"/>
            <w:shd w:val="clear" w:color="auto" w:fill="auto"/>
          </w:tcPr>
          <w:p w14:paraId="1E9A927B"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14:paraId="1E9A927C"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14:paraId="1E9A927D"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14:paraId="1E9A9283" w14:textId="77777777" w:rsidTr="00ED20C9">
        <w:tc>
          <w:tcPr>
            <w:tcW w:w="4219" w:type="dxa"/>
            <w:gridSpan w:val="4"/>
            <w:vMerge/>
          </w:tcPr>
          <w:p w14:paraId="1E9A927F" w14:textId="77777777" w:rsidR="0054009D" w:rsidRPr="001F515A" w:rsidRDefault="0054009D" w:rsidP="001F515A">
            <w:pPr>
              <w:rPr>
                <w:rFonts w:ascii="Arial" w:hAnsi="Arial" w:cs="Arial"/>
                <w:b/>
                <w:szCs w:val="20"/>
                <w:lang w:eastAsia="en-US"/>
              </w:rPr>
            </w:pPr>
          </w:p>
        </w:tc>
        <w:tc>
          <w:tcPr>
            <w:tcW w:w="3544" w:type="dxa"/>
            <w:gridSpan w:val="3"/>
            <w:shd w:val="clear" w:color="auto" w:fill="auto"/>
          </w:tcPr>
          <w:p w14:paraId="1E9A9280" w14:textId="3E23DB55" w:rsidR="0054009D" w:rsidRPr="0054009D" w:rsidRDefault="0054009D" w:rsidP="001F515A">
            <w:pPr>
              <w:jc w:val="center"/>
              <w:rPr>
                <w:rFonts w:ascii="Arial" w:hAnsi="Arial" w:cs="Arial"/>
                <w:b/>
                <w:i/>
                <w:iCs/>
                <w:szCs w:val="20"/>
                <w:lang w:eastAsia="en-US"/>
              </w:rPr>
            </w:pPr>
          </w:p>
        </w:tc>
        <w:tc>
          <w:tcPr>
            <w:tcW w:w="3544" w:type="dxa"/>
            <w:gridSpan w:val="3"/>
            <w:shd w:val="clear" w:color="auto" w:fill="auto"/>
          </w:tcPr>
          <w:p w14:paraId="1E9A9281" w14:textId="00A2275F" w:rsidR="0054009D" w:rsidRPr="0054009D" w:rsidRDefault="0054009D" w:rsidP="001F515A">
            <w:pPr>
              <w:jc w:val="center"/>
              <w:rPr>
                <w:rFonts w:ascii="Arial" w:hAnsi="Arial" w:cs="Arial"/>
                <w:b/>
                <w:i/>
                <w:iCs/>
                <w:szCs w:val="20"/>
                <w:lang w:eastAsia="en-US"/>
              </w:rPr>
            </w:pPr>
          </w:p>
        </w:tc>
        <w:tc>
          <w:tcPr>
            <w:tcW w:w="3827" w:type="dxa"/>
            <w:gridSpan w:val="2"/>
            <w:shd w:val="clear" w:color="auto" w:fill="auto"/>
          </w:tcPr>
          <w:p w14:paraId="1E9A9282" w14:textId="67CD12AB" w:rsidR="0054009D" w:rsidRPr="001F515A" w:rsidRDefault="0054009D" w:rsidP="001F515A">
            <w:pPr>
              <w:jc w:val="center"/>
              <w:rPr>
                <w:rFonts w:ascii="Arial" w:hAnsi="Arial" w:cs="Arial"/>
                <w:b/>
                <w:i/>
                <w:iCs/>
                <w:szCs w:val="20"/>
                <w:lang w:eastAsia="en-US"/>
              </w:rPr>
            </w:pPr>
          </w:p>
        </w:tc>
      </w:tr>
      <w:tr w:rsidR="001F515A" w:rsidRPr="001F515A" w14:paraId="1E9A9288" w14:textId="77777777" w:rsidTr="00ED20C9">
        <w:tc>
          <w:tcPr>
            <w:tcW w:w="4219" w:type="dxa"/>
            <w:gridSpan w:val="4"/>
          </w:tcPr>
          <w:p w14:paraId="1E9A9284"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14:paraId="1E9A9285"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14:paraId="1E9A9286"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14:paraId="1E9A9287" w14:textId="77777777" w:rsidR="001F515A" w:rsidRPr="001F515A" w:rsidRDefault="001F515A" w:rsidP="001F515A">
            <w:pPr>
              <w:jc w:val="center"/>
              <w:rPr>
                <w:rFonts w:ascii="Arial" w:hAnsi="Arial" w:cs="Arial"/>
                <w:b/>
                <w:i/>
                <w:iCs/>
                <w:szCs w:val="20"/>
                <w:lang w:eastAsia="en-US"/>
              </w:rPr>
            </w:pPr>
          </w:p>
        </w:tc>
      </w:tr>
      <w:tr w:rsidR="001F515A" w:rsidRPr="001F515A" w14:paraId="1E9A928E" w14:textId="77777777" w:rsidTr="00ED20C9">
        <w:tc>
          <w:tcPr>
            <w:tcW w:w="4219" w:type="dxa"/>
            <w:gridSpan w:val="4"/>
          </w:tcPr>
          <w:p w14:paraId="1E9A9289"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14:paraId="1E9A928A" w14:textId="77777777" w:rsidR="001F515A" w:rsidRPr="001F515A" w:rsidRDefault="001F515A" w:rsidP="001F515A">
            <w:pPr>
              <w:rPr>
                <w:rFonts w:ascii="Arial" w:hAnsi="Arial" w:cs="Arial"/>
                <w:szCs w:val="20"/>
                <w:lang w:eastAsia="en-US"/>
              </w:rPr>
            </w:pPr>
          </w:p>
          <w:p w14:paraId="1E9A928B"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14:paraId="1E9A928C" w14:textId="77777777" w:rsidR="001F515A" w:rsidRPr="001F515A" w:rsidRDefault="001F515A" w:rsidP="001F515A">
            <w:pPr>
              <w:rPr>
                <w:rFonts w:ascii="Arial" w:hAnsi="Arial" w:cs="Arial"/>
                <w:szCs w:val="20"/>
                <w:lang w:eastAsia="en-US"/>
              </w:rPr>
            </w:pPr>
          </w:p>
        </w:tc>
        <w:tc>
          <w:tcPr>
            <w:tcW w:w="10915" w:type="dxa"/>
            <w:gridSpan w:val="8"/>
          </w:tcPr>
          <w:p w14:paraId="1E9A928D" w14:textId="27E00F96" w:rsidR="00B51D02" w:rsidRPr="0006524C" w:rsidRDefault="00643289" w:rsidP="00D049A8">
            <w:pPr>
              <w:autoSpaceDE w:val="0"/>
              <w:autoSpaceDN w:val="0"/>
              <w:adjustRightInd w:val="0"/>
              <w:rPr>
                <w:rFonts w:ascii="Arial" w:hAnsi="Arial" w:cs="Arial"/>
                <w:szCs w:val="20"/>
                <w:lang w:eastAsia="en-US"/>
              </w:rPr>
            </w:pPr>
            <w:r>
              <w:rPr>
                <w:rFonts w:ascii="Arial" w:hAnsi="Arial" w:cs="Arial"/>
                <w:szCs w:val="20"/>
                <w:lang w:eastAsia="en-US"/>
              </w:rPr>
              <w:t xml:space="preserve">Under the Housing Act 2004, Councils can introduce additional HMO </w:t>
            </w:r>
            <w:r w:rsidR="007869C7">
              <w:rPr>
                <w:rFonts w:ascii="Arial" w:hAnsi="Arial" w:cs="Arial"/>
                <w:szCs w:val="20"/>
                <w:lang w:eastAsia="en-US"/>
              </w:rPr>
              <w:t>Licensing</w:t>
            </w:r>
            <w:r>
              <w:rPr>
                <w:rFonts w:ascii="Arial" w:hAnsi="Arial" w:cs="Arial"/>
                <w:szCs w:val="20"/>
                <w:lang w:eastAsia="en-US"/>
              </w:rPr>
              <w:t xml:space="preserve"> schemes for HMOs which are not covered by the national mandatory HMO Licensing schemes</w:t>
            </w:r>
            <w:r w:rsidR="00D049A8">
              <w:rPr>
                <w:rFonts w:ascii="Arial" w:hAnsi="Arial" w:cs="Arial"/>
                <w:szCs w:val="20"/>
                <w:lang w:eastAsia="en-US"/>
              </w:rPr>
              <w:t xml:space="preserve"> (i.e.</w:t>
            </w:r>
            <w:r>
              <w:rPr>
                <w:rFonts w:ascii="Arial" w:hAnsi="Arial" w:cs="Arial"/>
                <w:szCs w:val="20"/>
                <w:lang w:eastAsia="en-US"/>
              </w:rPr>
              <w:t xml:space="preserve"> those occupied by 5 or more persons). </w:t>
            </w:r>
            <w:r w:rsidR="003619CB">
              <w:rPr>
                <w:rFonts w:ascii="Arial" w:hAnsi="Arial" w:cs="Arial"/>
                <w:szCs w:val="20"/>
                <w:lang w:eastAsia="en-US"/>
              </w:rPr>
              <w:t>Oxford has been</w:t>
            </w:r>
            <w:r w:rsidR="007869C7">
              <w:rPr>
                <w:rFonts w:ascii="Arial" w:hAnsi="Arial" w:cs="Arial"/>
                <w:szCs w:val="20"/>
                <w:lang w:eastAsia="en-US"/>
              </w:rPr>
              <w:t xml:space="preserve"> operati</w:t>
            </w:r>
            <w:r w:rsidR="00D049A8">
              <w:rPr>
                <w:rFonts w:ascii="Arial" w:hAnsi="Arial" w:cs="Arial"/>
                <w:szCs w:val="20"/>
                <w:lang w:eastAsia="en-US"/>
              </w:rPr>
              <w:t xml:space="preserve">ng additional HMO licensing </w:t>
            </w:r>
            <w:r w:rsidR="007869C7">
              <w:rPr>
                <w:rFonts w:ascii="Arial" w:hAnsi="Arial" w:cs="Arial"/>
                <w:szCs w:val="20"/>
                <w:lang w:eastAsia="en-US"/>
              </w:rPr>
              <w:t>since 2011</w:t>
            </w:r>
            <w:r>
              <w:rPr>
                <w:rFonts w:ascii="Arial" w:hAnsi="Arial" w:cs="Arial"/>
                <w:szCs w:val="20"/>
                <w:lang w:eastAsia="en-US"/>
              </w:rPr>
              <w:t xml:space="preserve">, the renewal of the scheme </w:t>
            </w:r>
            <w:r w:rsidR="007869C7">
              <w:rPr>
                <w:rFonts w:ascii="Arial" w:hAnsi="Arial" w:cs="Arial"/>
                <w:szCs w:val="20"/>
                <w:lang w:eastAsia="en-US"/>
              </w:rPr>
              <w:t>for a further 5 years</w:t>
            </w:r>
            <w:r>
              <w:rPr>
                <w:rFonts w:ascii="Arial" w:hAnsi="Arial" w:cs="Arial"/>
                <w:szCs w:val="20"/>
                <w:lang w:eastAsia="en-US"/>
              </w:rPr>
              <w:t xml:space="preserve"> is an important protection to those living within this sector of the housing stock, in that it improves living conditions proactively, without the need for occupiers to complain to the council</w:t>
            </w:r>
            <w:r w:rsidR="00D049A8">
              <w:rPr>
                <w:rFonts w:ascii="Arial" w:hAnsi="Arial" w:cs="Arial"/>
                <w:szCs w:val="20"/>
                <w:lang w:eastAsia="en-US"/>
              </w:rPr>
              <w:t>. This assessment is required as there is a significant difference in impacts between the two groups mostly affected by such a licensing scheme, tenants and landlords.</w:t>
            </w:r>
          </w:p>
        </w:tc>
      </w:tr>
      <w:tr w:rsidR="001F515A" w:rsidRPr="001F515A" w14:paraId="1E9A9294" w14:textId="77777777" w:rsidTr="00ED20C9">
        <w:tc>
          <w:tcPr>
            <w:tcW w:w="4219" w:type="dxa"/>
            <w:gridSpan w:val="4"/>
          </w:tcPr>
          <w:p w14:paraId="1E9A928F" w14:textId="4CACF13A"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14:paraId="1E9A9290" w14:textId="77777777" w:rsidR="001F515A" w:rsidRPr="001F515A" w:rsidRDefault="001F515A" w:rsidP="001F515A">
            <w:pPr>
              <w:rPr>
                <w:rFonts w:ascii="Arial" w:hAnsi="Arial" w:cs="Arial"/>
                <w:snapToGrid w:val="0"/>
                <w:color w:val="000000"/>
                <w:szCs w:val="20"/>
                <w:lang w:eastAsia="en-US"/>
              </w:rPr>
            </w:pPr>
          </w:p>
          <w:p w14:paraId="1E9A9291" w14:textId="77777777"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14:paraId="1E9A9292" w14:textId="77777777" w:rsidR="001F515A" w:rsidRPr="001F515A" w:rsidRDefault="001F515A" w:rsidP="001F515A">
            <w:pPr>
              <w:rPr>
                <w:rFonts w:ascii="Arial" w:hAnsi="Arial" w:cs="Arial"/>
                <w:szCs w:val="20"/>
                <w:lang w:eastAsia="en-US"/>
              </w:rPr>
            </w:pPr>
          </w:p>
        </w:tc>
        <w:tc>
          <w:tcPr>
            <w:tcW w:w="10915" w:type="dxa"/>
            <w:gridSpan w:val="8"/>
          </w:tcPr>
          <w:p w14:paraId="1E9A9293" w14:textId="5A7D633A" w:rsidR="008878A1" w:rsidRPr="00C11DF7" w:rsidRDefault="00CF210D" w:rsidP="0092739B">
            <w:pPr>
              <w:rPr>
                <w:rFonts w:ascii="Arial" w:hAnsi="Arial" w:cs="Arial"/>
                <w:szCs w:val="20"/>
                <w:lang w:eastAsia="en-US"/>
              </w:rPr>
            </w:pPr>
            <w:r>
              <w:rPr>
                <w:rFonts w:ascii="Arial" w:hAnsi="Arial" w:cs="Arial"/>
                <w:szCs w:val="20"/>
                <w:lang w:eastAsia="en-US"/>
              </w:rPr>
              <w:t>Data</w:t>
            </w:r>
            <w:r w:rsidR="0092739B">
              <w:rPr>
                <w:rFonts w:ascii="Arial" w:hAnsi="Arial" w:cs="Arial"/>
                <w:szCs w:val="20"/>
                <w:lang w:eastAsia="en-US"/>
              </w:rPr>
              <w:t xml:space="preserve"> collected from the current scheme and held</w:t>
            </w:r>
            <w:r>
              <w:rPr>
                <w:rFonts w:ascii="Arial" w:hAnsi="Arial" w:cs="Arial"/>
                <w:szCs w:val="20"/>
                <w:lang w:eastAsia="en-US"/>
              </w:rPr>
              <w:t xml:space="preserve"> on the Council’s sys</w:t>
            </w:r>
            <w:r w:rsidR="00E7473A">
              <w:rPr>
                <w:rFonts w:ascii="Arial" w:hAnsi="Arial" w:cs="Arial"/>
                <w:szCs w:val="20"/>
                <w:lang w:eastAsia="en-US"/>
              </w:rPr>
              <w:t xml:space="preserve">tems has been used to identify </w:t>
            </w:r>
            <w:r>
              <w:rPr>
                <w:rFonts w:ascii="Arial" w:hAnsi="Arial" w:cs="Arial"/>
                <w:szCs w:val="20"/>
                <w:lang w:eastAsia="en-US"/>
              </w:rPr>
              <w:t>HM</w:t>
            </w:r>
            <w:r w:rsidR="00E7473A">
              <w:rPr>
                <w:rFonts w:ascii="Arial" w:hAnsi="Arial" w:cs="Arial"/>
                <w:szCs w:val="20"/>
                <w:lang w:eastAsia="en-US"/>
              </w:rPr>
              <w:t xml:space="preserve">Os currently licensed. Service request data has also been used to determine possible unlicensed </w:t>
            </w:r>
            <w:r w:rsidR="00881C67">
              <w:rPr>
                <w:rFonts w:ascii="Arial" w:hAnsi="Arial" w:cs="Arial"/>
                <w:szCs w:val="20"/>
                <w:lang w:eastAsia="en-US"/>
              </w:rPr>
              <w:t>HMOs.</w:t>
            </w:r>
          </w:p>
        </w:tc>
      </w:tr>
      <w:tr w:rsidR="001F515A" w:rsidRPr="001F515A" w14:paraId="1E9A929E" w14:textId="77777777" w:rsidTr="00ED20C9">
        <w:tc>
          <w:tcPr>
            <w:tcW w:w="4219" w:type="dxa"/>
            <w:gridSpan w:val="4"/>
          </w:tcPr>
          <w:p w14:paraId="1E9A9295" w14:textId="51E1D59C"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14:paraId="1E9A9296" w14:textId="77777777" w:rsidR="001F515A" w:rsidRPr="001F515A" w:rsidRDefault="001F515A" w:rsidP="001F515A">
            <w:pPr>
              <w:rPr>
                <w:rFonts w:ascii="Arial" w:hAnsi="Arial" w:cs="Arial"/>
                <w:bCs/>
                <w:szCs w:val="20"/>
                <w:lang w:eastAsia="en-US"/>
              </w:rPr>
            </w:pPr>
          </w:p>
          <w:p w14:paraId="1E9A9297" w14:textId="77777777"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14:paraId="1E9A9298"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14:paraId="1E9A9299" w14:textId="77777777"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14:paraId="1E9A929A"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14:paraId="1E9A929B"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14:paraId="1E9A929C" w14:textId="77777777"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14:paraId="78108704" w14:textId="790117F1" w:rsidR="007B0DE3" w:rsidRPr="005F56EB" w:rsidRDefault="0092739B" w:rsidP="0092739B">
            <w:pPr>
              <w:rPr>
                <w:rFonts w:ascii="Arial" w:hAnsi="Arial" w:cs="Arial"/>
                <w:sz w:val="22"/>
                <w:szCs w:val="22"/>
                <w:lang w:eastAsia="en-US"/>
              </w:rPr>
            </w:pPr>
            <w:r w:rsidRPr="005F56EB">
              <w:rPr>
                <w:rFonts w:ascii="Arial" w:hAnsi="Arial" w:cs="Arial"/>
                <w:sz w:val="22"/>
                <w:szCs w:val="22"/>
                <w:lang w:eastAsia="en-US"/>
              </w:rPr>
              <w:t>A statutory consultation</w:t>
            </w:r>
            <w:r w:rsidR="001F3F67" w:rsidRPr="005F56EB">
              <w:rPr>
                <w:rFonts w:ascii="Arial" w:hAnsi="Arial" w:cs="Arial"/>
                <w:sz w:val="22"/>
                <w:szCs w:val="22"/>
                <w:lang w:eastAsia="en-US"/>
              </w:rPr>
              <w:t xml:space="preserve"> exercise between 10</w:t>
            </w:r>
            <w:r w:rsidR="001F3F67" w:rsidRPr="005F56EB">
              <w:rPr>
                <w:rFonts w:ascii="Arial" w:hAnsi="Arial" w:cs="Arial"/>
                <w:sz w:val="22"/>
                <w:szCs w:val="22"/>
                <w:vertAlign w:val="superscript"/>
                <w:lang w:eastAsia="en-US"/>
              </w:rPr>
              <w:t>th</w:t>
            </w:r>
            <w:r w:rsidR="001F3F67" w:rsidRPr="005F56EB">
              <w:rPr>
                <w:rFonts w:ascii="Arial" w:hAnsi="Arial" w:cs="Arial"/>
                <w:sz w:val="22"/>
                <w:szCs w:val="22"/>
                <w:lang w:eastAsia="en-US"/>
              </w:rPr>
              <w:t xml:space="preserve"> September 2020 and 31</w:t>
            </w:r>
            <w:r w:rsidR="001F3F67" w:rsidRPr="005F56EB">
              <w:rPr>
                <w:rFonts w:ascii="Arial" w:hAnsi="Arial" w:cs="Arial"/>
                <w:sz w:val="22"/>
                <w:szCs w:val="22"/>
                <w:vertAlign w:val="superscript"/>
                <w:lang w:eastAsia="en-US"/>
              </w:rPr>
              <w:t>st</w:t>
            </w:r>
            <w:r w:rsidR="001F3F67" w:rsidRPr="005F56EB">
              <w:rPr>
                <w:rFonts w:ascii="Arial" w:hAnsi="Arial" w:cs="Arial"/>
                <w:sz w:val="22"/>
                <w:szCs w:val="22"/>
                <w:lang w:eastAsia="en-US"/>
              </w:rPr>
              <w:t xml:space="preserve"> December 2020</w:t>
            </w:r>
            <w:r w:rsidR="00CC4B59">
              <w:rPr>
                <w:rFonts w:ascii="Arial" w:hAnsi="Arial" w:cs="Arial"/>
                <w:sz w:val="22"/>
                <w:szCs w:val="22"/>
                <w:lang w:eastAsia="en-US"/>
              </w:rPr>
              <w:t xml:space="preserve"> has taken place. T</w:t>
            </w:r>
            <w:r w:rsidRPr="005F56EB">
              <w:rPr>
                <w:rFonts w:ascii="Arial" w:hAnsi="Arial" w:cs="Arial"/>
                <w:sz w:val="22"/>
                <w:szCs w:val="22"/>
                <w:lang w:eastAsia="en-US"/>
              </w:rPr>
              <w:t xml:space="preserve">he results and methodology </w:t>
            </w:r>
            <w:r w:rsidR="00CC4B59" w:rsidRPr="005F56EB">
              <w:rPr>
                <w:rFonts w:ascii="Arial" w:hAnsi="Arial" w:cs="Arial"/>
                <w:sz w:val="22"/>
                <w:szCs w:val="22"/>
                <w:lang w:eastAsia="en-US"/>
              </w:rPr>
              <w:t xml:space="preserve">and the Council’s response </w:t>
            </w:r>
            <w:r w:rsidRPr="005F56EB">
              <w:rPr>
                <w:rFonts w:ascii="Arial" w:hAnsi="Arial" w:cs="Arial"/>
                <w:sz w:val="22"/>
                <w:szCs w:val="22"/>
                <w:lang w:eastAsia="en-US"/>
              </w:rPr>
              <w:t xml:space="preserve">are included in the main report. </w:t>
            </w:r>
          </w:p>
          <w:p w14:paraId="2D18AFBF" w14:textId="77777777" w:rsidR="0092739B" w:rsidRPr="005F56EB" w:rsidRDefault="0092739B" w:rsidP="0092739B">
            <w:pPr>
              <w:rPr>
                <w:rFonts w:ascii="Arial" w:hAnsi="Arial" w:cs="Arial"/>
                <w:sz w:val="22"/>
                <w:szCs w:val="22"/>
                <w:lang w:eastAsia="en-US"/>
              </w:rPr>
            </w:pPr>
          </w:p>
          <w:p w14:paraId="182FFB7E" w14:textId="63D09A41" w:rsidR="0092739B" w:rsidRPr="005F56EB" w:rsidRDefault="0092739B" w:rsidP="0092739B">
            <w:pPr>
              <w:rPr>
                <w:rFonts w:ascii="Arial" w:hAnsi="Arial" w:cs="Arial"/>
                <w:sz w:val="22"/>
                <w:szCs w:val="22"/>
                <w:lang w:eastAsia="en-US"/>
              </w:rPr>
            </w:pPr>
            <w:r w:rsidRPr="005F56EB">
              <w:rPr>
                <w:rFonts w:ascii="Arial" w:hAnsi="Arial" w:cs="Arial"/>
                <w:sz w:val="22"/>
                <w:szCs w:val="22"/>
                <w:lang w:eastAsia="en-US"/>
              </w:rPr>
              <w:t xml:space="preserve">Following the comments received </w:t>
            </w:r>
            <w:r w:rsidR="00A9281D">
              <w:rPr>
                <w:rFonts w:ascii="Arial" w:hAnsi="Arial" w:cs="Arial"/>
                <w:sz w:val="22"/>
                <w:szCs w:val="22"/>
                <w:lang w:eastAsia="en-US"/>
              </w:rPr>
              <w:t xml:space="preserve">which </w:t>
            </w:r>
            <w:r w:rsidRPr="005F56EB">
              <w:rPr>
                <w:rFonts w:ascii="Arial" w:hAnsi="Arial" w:cs="Arial"/>
                <w:sz w:val="22"/>
                <w:szCs w:val="22"/>
                <w:lang w:eastAsia="en-US"/>
              </w:rPr>
              <w:t>have been considered</w:t>
            </w:r>
            <w:r w:rsidR="00CC4B59">
              <w:rPr>
                <w:rFonts w:ascii="Arial" w:hAnsi="Arial" w:cs="Arial"/>
                <w:sz w:val="22"/>
                <w:szCs w:val="22"/>
                <w:lang w:eastAsia="en-US"/>
              </w:rPr>
              <w:t>, a</w:t>
            </w:r>
            <w:r w:rsidRPr="005F56EB">
              <w:rPr>
                <w:rFonts w:ascii="Arial" w:hAnsi="Arial" w:cs="Arial"/>
                <w:sz w:val="22"/>
                <w:szCs w:val="22"/>
                <w:lang w:eastAsia="en-US"/>
              </w:rPr>
              <w:t xml:space="preserve">ctions have been proposed to address issues raised and these include </w:t>
            </w:r>
          </w:p>
          <w:p w14:paraId="5574B3BD" w14:textId="77777777" w:rsidR="0092739B" w:rsidRPr="005F56EB" w:rsidRDefault="0092739B" w:rsidP="0092739B">
            <w:pPr>
              <w:rPr>
                <w:rFonts w:ascii="Arial" w:hAnsi="Arial" w:cs="Arial"/>
                <w:sz w:val="22"/>
                <w:szCs w:val="22"/>
                <w:lang w:eastAsia="en-US"/>
              </w:rPr>
            </w:pPr>
          </w:p>
          <w:p w14:paraId="7920415C" w14:textId="0A9CB264" w:rsidR="0092739B" w:rsidRPr="00F354AF" w:rsidRDefault="0092739B" w:rsidP="0092739B">
            <w:pPr>
              <w:pStyle w:val="ListParagraph"/>
              <w:numPr>
                <w:ilvl w:val="0"/>
                <w:numId w:val="6"/>
              </w:numPr>
              <w:rPr>
                <w:sz w:val="22"/>
                <w:szCs w:val="22"/>
              </w:rPr>
            </w:pPr>
            <w:r w:rsidRPr="00F354AF">
              <w:rPr>
                <w:sz w:val="22"/>
                <w:szCs w:val="22"/>
              </w:rPr>
              <w:t xml:space="preserve">Simplifying the fee structure </w:t>
            </w:r>
          </w:p>
          <w:p w14:paraId="63EFC3B0" w14:textId="77777777" w:rsidR="0092739B" w:rsidRPr="00F354AF" w:rsidRDefault="0092739B" w:rsidP="0092739B">
            <w:pPr>
              <w:pStyle w:val="ListParagraph"/>
              <w:numPr>
                <w:ilvl w:val="0"/>
                <w:numId w:val="6"/>
              </w:numPr>
              <w:rPr>
                <w:sz w:val="22"/>
                <w:szCs w:val="22"/>
              </w:rPr>
            </w:pPr>
            <w:r w:rsidRPr="00F354AF">
              <w:rPr>
                <w:sz w:val="22"/>
                <w:szCs w:val="22"/>
              </w:rPr>
              <w:t xml:space="preserve">Introducing an updated and streamlined application process. </w:t>
            </w:r>
          </w:p>
          <w:p w14:paraId="6E4BD493" w14:textId="77777777" w:rsidR="0092739B" w:rsidRPr="00F354AF" w:rsidRDefault="0092739B" w:rsidP="005F56EB">
            <w:pPr>
              <w:pStyle w:val="ListParagraph"/>
              <w:numPr>
                <w:ilvl w:val="0"/>
                <w:numId w:val="6"/>
              </w:numPr>
              <w:rPr>
                <w:szCs w:val="20"/>
              </w:rPr>
            </w:pPr>
            <w:r w:rsidRPr="00F354AF">
              <w:rPr>
                <w:sz w:val="22"/>
                <w:szCs w:val="22"/>
              </w:rPr>
              <w:t>Revising the discretionary licence conditions</w:t>
            </w:r>
            <w:r w:rsidRPr="00F354AF">
              <w:rPr>
                <w:szCs w:val="20"/>
              </w:rPr>
              <w:t xml:space="preserve"> </w:t>
            </w:r>
          </w:p>
          <w:p w14:paraId="0021312C" w14:textId="77777777" w:rsidR="005F56EB" w:rsidRDefault="005F56EB" w:rsidP="005F56EB">
            <w:pPr>
              <w:pStyle w:val="ListParagraph"/>
              <w:numPr>
                <w:ilvl w:val="0"/>
                <w:numId w:val="6"/>
              </w:numPr>
              <w:rPr>
                <w:sz w:val="22"/>
                <w:szCs w:val="22"/>
              </w:rPr>
            </w:pPr>
            <w:r w:rsidRPr="005F56EB">
              <w:rPr>
                <w:sz w:val="22"/>
                <w:szCs w:val="22"/>
              </w:rPr>
              <w:t xml:space="preserve">Widening the criteria for longer licences for accredited landlords </w:t>
            </w:r>
          </w:p>
          <w:p w14:paraId="3BF73C0F" w14:textId="15B8FBFA" w:rsidR="00F354AF" w:rsidRDefault="00CC4B59" w:rsidP="005F56EB">
            <w:pPr>
              <w:pStyle w:val="ListParagraph"/>
              <w:numPr>
                <w:ilvl w:val="0"/>
                <w:numId w:val="6"/>
              </w:numPr>
              <w:rPr>
                <w:sz w:val="22"/>
                <w:szCs w:val="22"/>
              </w:rPr>
            </w:pPr>
            <w:r>
              <w:rPr>
                <w:sz w:val="22"/>
                <w:szCs w:val="22"/>
              </w:rPr>
              <w:t xml:space="preserve">Providing </w:t>
            </w:r>
            <w:r w:rsidR="00F354AF">
              <w:rPr>
                <w:sz w:val="22"/>
                <w:szCs w:val="22"/>
              </w:rPr>
              <w:t xml:space="preserve">templates for licence holders to assist them in communicating with tenants </w:t>
            </w:r>
          </w:p>
          <w:p w14:paraId="1E9A929D" w14:textId="32D5F86C" w:rsidR="00F354AF" w:rsidRPr="00F354AF" w:rsidRDefault="00F354AF" w:rsidP="00BB1A5A">
            <w:pPr>
              <w:pStyle w:val="ListParagraph"/>
              <w:numPr>
                <w:ilvl w:val="0"/>
                <w:numId w:val="6"/>
              </w:numPr>
              <w:rPr>
                <w:sz w:val="22"/>
                <w:szCs w:val="22"/>
              </w:rPr>
            </w:pPr>
            <w:r>
              <w:rPr>
                <w:sz w:val="22"/>
                <w:szCs w:val="22"/>
              </w:rPr>
              <w:t>Development of a communications plan for HMO licensing</w:t>
            </w:r>
            <w:r w:rsidR="00BB1A5A">
              <w:rPr>
                <w:sz w:val="22"/>
                <w:szCs w:val="22"/>
              </w:rPr>
              <w:t xml:space="preserve"> to include revision of webpages and </w:t>
            </w:r>
            <w:r>
              <w:rPr>
                <w:sz w:val="22"/>
                <w:szCs w:val="22"/>
              </w:rPr>
              <w:t>a Private Sector Newsletter</w:t>
            </w:r>
            <w:r w:rsidR="00BB1A5A">
              <w:rPr>
                <w:sz w:val="22"/>
                <w:szCs w:val="22"/>
              </w:rPr>
              <w:t>, to</w:t>
            </w:r>
            <w:r>
              <w:rPr>
                <w:sz w:val="22"/>
                <w:szCs w:val="22"/>
              </w:rPr>
              <w:t xml:space="preserve"> encourage both landlords and tenants</w:t>
            </w:r>
            <w:r w:rsidR="00BB1A5A">
              <w:rPr>
                <w:sz w:val="22"/>
                <w:szCs w:val="22"/>
              </w:rPr>
              <w:t xml:space="preserve"> to adopt good practice. </w:t>
            </w:r>
          </w:p>
        </w:tc>
      </w:tr>
      <w:tr w:rsidR="001F515A" w:rsidRPr="001F515A" w14:paraId="1E9A92C3" w14:textId="77777777" w:rsidTr="00B7221E">
        <w:trPr>
          <w:trHeight w:val="642"/>
        </w:trPr>
        <w:tc>
          <w:tcPr>
            <w:tcW w:w="4219" w:type="dxa"/>
            <w:gridSpan w:val="4"/>
          </w:tcPr>
          <w:p w14:paraId="1E9A929F" w14:textId="3E8DE189" w:rsidR="001F515A" w:rsidRPr="001F515A" w:rsidRDefault="001F515A" w:rsidP="001F515A">
            <w:pPr>
              <w:rPr>
                <w:rFonts w:ascii="Arial" w:hAnsi="Arial" w:cs="Arial"/>
                <w:b/>
                <w:szCs w:val="20"/>
                <w:lang w:eastAsia="en-US"/>
              </w:rPr>
            </w:pPr>
            <w:r w:rsidRPr="001F515A">
              <w:rPr>
                <w:rFonts w:ascii="Arial" w:hAnsi="Arial" w:cs="Arial"/>
                <w:b/>
                <w:szCs w:val="20"/>
                <w:lang w:eastAsia="en-US"/>
              </w:rPr>
              <w:t>5. Assessment of Impact:</w:t>
            </w:r>
          </w:p>
          <w:p w14:paraId="1E9A92A1" w14:textId="0DB8FDB0" w:rsidR="001F515A" w:rsidRPr="001F515A" w:rsidRDefault="001F515A" w:rsidP="00AC2E87">
            <w:pPr>
              <w:rPr>
                <w:rFonts w:ascii="Arial" w:hAnsi="Arial" w:cs="Arial"/>
                <w:b/>
                <w:szCs w:val="20"/>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 xml:space="preserve">consider </w:t>
            </w:r>
            <w:r w:rsidRPr="001F515A">
              <w:rPr>
                <w:rFonts w:ascii="Arial" w:hAnsi="Arial" w:cs="Arial"/>
                <w:lang w:eastAsia="en-US"/>
              </w:rPr>
              <w:lastRenderedPageBreak/>
              <w:t>whether the policy, strategy or spending decisions could have an impact on safeguarding and / or the welfare of children and vulnerable adults</w:t>
            </w:r>
          </w:p>
        </w:tc>
        <w:tc>
          <w:tcPr>
            <w:tcW w:w="10915" w:type="dxa"/>
            <w:gridSpan w:val="8"/>
          </w:tcPr>
          <w:p w14:paraId="07208A8E" w14:textId="698DE1C0" w:rsidR="00041903" w:rsidRPr="005F56EB" w:rsidRDefault="0092739B" w:rsidP="0092739B">
            <w:pPr>
              <w:rPr>
                <w:rFonts w:ascii="Arial" w:hAnsi="Arial" w:cs="Arial"/>
                <w:sz w:val="22"/>
                <w:szCs w:val="22"/>
                <w:lang w:eastAsia="en-US"/>
              </w:rPr>
            </w:pPr>
            <w:r w:rsidRPr="005F56EB">
              <w:rPr>
                <w:rFonts w:ascii="Arial" w:hAnsi="Arial" w:cs="Arial"/>
                <w:sz w:val="22"/>
                <w:szCs w:val="22"/>
                <w:lang w:eastAsia="en-US"/>
              </w:rPr>
              <w:lastRenderedPageBreak/>
              <w:t xml:space="preserve">Renewal of the </w:t>
            </w:r>
            <w:r w:rsidR="008A16E8" w:rsidRPr="005F56EB">
              <w:rPr>
                <w:rFonts w:ascii="Arial" w:hAnsi="Arial" w:cs="Arial"/>
                <w:sz w:val="22"/>
                <w:szCs w:val="22"/>
                <w:lang w:eastAsia="en-US"/>
              </w:rPr>
              <w:t>Additional</w:t>
            </w:r>
            <w:r w:rsidRPr="005F56EB">
              <w:rPr>
                <w:rFonts w:ascii="Arial" w:hAnsi="Arial" w:cs="Arial"/>
                <w:sz w:val="22"/>
                <w:szCs w:val="22"/>
                <w:lang w:eastAsia="en-US"/>
              </w:rPr>
              <w:t xml:space="preserve">  HMO licensing scheme will bring about the following </w:t>
            </w:r>
            <w:r w:rsidR="008A16E8" w:rsidRPr="005F56EB">
              <w:rPr>
                <w:rFonts w:ascii="Arial" w:hAnsi="Arial" w:cs="Arial"/>
                <w:sz w:val="22"/>
                <w:szCs w:val="22"/>
                <w:lang w:eastAsia="en-US"/>
              </w:rPr>
              <w:t>benefits</w:t>
            </w:r>
            <w:r w:rsidRPr="005F56EB">
              <w:rPr>
                <w:rFonts w:ascii="Arial" w:hAnsi="Arial" w:cs="Arial"/>
                <w:sz w:val="22"/>
                <w:szCs w:val="22"/>
                <w:lang w:eastAsia="en-US"/>
              </w:rPr>
              <w:t xml:space="preserve"> </w:t>
            </w:r>
          </w:p>
          <w:p w14:paraId="66E08532" w14:textId="7C8829D8" w:rsidR="0092739B" w:rsidRPr="005F56EB" w:rsidRDefault="0092739B" w:rsidP="008A16E8">
            <w:pPr>
              <w:pStyle w:val="ListParagraph"/>
              <w:numPr>
                <w:ilvl w:val="0"/>
                <w:numId w:val="7"/>
              </w:numPr>
              <w:rPr>
                <w:sz w:val="22"/>
                <w:szCs w:val="22"/>
              </w:rPr>
            </w:pPr>
            <w:r w:rsidRPr="005F56EB">
              <w:rPr>
                <w:sz w:val="22"/>
                <w:szCs w:val="22"/>
              </w:rPr>
              <w:t xml:space="preserve">A </w:t>
            </w:r>
            <w:r w:rsidR="008A16E8" w:rsidRPr="005F56EB">
              <w:rPr>
                <w:sz w:val="22"/>
                <w:szCs w:val="22"/>
              </w:rPr>
              <w:t>continuation</w:t>
            </w:r>
            <w:r w:rsidRPr="005F56EB">
              <w:rPr>
                <w:sz w:val="22"/>
                <w:szCs w:val="22"/>
              </w:rPr>
              <w:t xml:space="preserve"> of the </w:t>
            </w:r>
            <w:r w:rsidR="008A16E8" w:rsidRPr="005F56EB">
              <w:rPr>
                <w:sz w:val="22"/>
                <w:szCs w:val="22"/>
              </w:rPr>
              <w:t>work already carried out to influence an improvement in standards across the whole of the HMO stock</w:t>
            </w:r>
          </w:p>
          <w:p w14:paraId="6551E2EB" w14:textId="1B050C56" w:rsidR="008A16E8" w:rsidRPr="005F56EB" w:rsidRDefault="008A16E8" w:rsidP="008A16E8">
            <w:pPr>
              <w:pStyle w:val="ListParagraph"/>
              <w:numPr>
                <w:ilvl w:val="0"/>
                <w:numId w:val="7"/>
              </w:numPr>
              <w:rPr>
                <w:sz w:val="22"/>
                <w:szCs w:val="22"/>
              </w:rPr>
            </w:pPr>
            <w:r w:rsidRPr="005F56EB">
              <w:rPr>
                <w:sz w:val="22"/>
                <w:szCs w:val="22"/>
              </w:rPr>
              <w:t xml:space="preserve">An increase in satisfaction levels with the accommodation and management of HMOs across the city by those in occupation and neighbouring residents </w:t>
            </w:r>
          </w:p>
          <w:p w14:paraId="1F859781" w14:textId="77777777" w:rsidR="008A16E8" w:rsidRPr="005F56EB" w:rsidRDefault="008A16E8" w:rsidP="008A16E8">
            <w:pPr>
              <w:pStyle w:val="ListParagraph"/>
              <w:numPr>
                <w:ilvl w:val="0"/>
                <w:numId w:val="7"/>
              </w:numPr>
              <w:rPr>
                <w:sz w:val="22"/>
                <w:szCs w:val="22"/>
              </w:rPr>
            </w:pPr>
            <w:r w:rsidRPr="005F56EB">
              <w:rPr>
                <w:sz w:val="22"/>
                <w:szCs w:val="22"/>
              </w:rPr>
              <w:t xml:space="preserve">A level playing field for all HMO landlords not just those managing larger HMOs </w:t>
            </w:r>
          </w:p>
          <w:p w14:paraId="02DFCF24" w14:textId="77777777" w:rsidR="008A16E8" w:rsidRDefault="008A16E8" w:rsidP="008A16E8">
            <w:pPr>
              <w:pStyle w:val="Default"/>
              <w:rPr>
                <w:b/>
                <w:bCs/>
                <w:sz w:val="22"/>
                <w:szCs w:val="22"/>
              </w:rPr>
            </w:pPr>
            <w:r>
              <w:rPr>
                <w:b/>
                <w:bCs/>
                <w:sz w:val="22"/>
                <w:szCs w:val="22"/>
              </w:rPr>
              <w:lastRenderedPageBreak/>
              <w:t xml:space="preserve">People from different ethnic groups </w:t>
            </w:r>
          </w:p>
          <w:p w14:paraId="5F1A379F" w14:textId="0DCCC204" w:rsidR="008A16E8" w:rsidRPr="00BD3BCE" w:rsidRDefault="00BD3BCE" w:rsidP="008A16E8">
            <w:pPr>
              <w:pStyle w:val="Default"/>
              <w:rPr>
                <w:sz w:val="22"/>
                <w:szCs w:val="22"/>
              </w:rPr>
            </w:pPr>
            <w:r w:rsidRPr="00BD3BCE">
              <w:rPr>
                <w:bCs/>
                <w:sz w:val="22"/>
                <w:szCs w:val="22"/>
              </w:rPr>
              <w:t xml:space="preserve">HMOs are occupied by a diverse population, with certain BAME groups over represented particularly single economic migrants such as East Timorese and Eastern Europeans. Such communities can be particularly affected by overcrowding, illegal accommodation, substandard conversions and poor management. </w:t>
            </w:r>
          </w:p>
          <w:p w14:paraId="0BD4BAAA" w14:textId="0AD730A0" w:rsidR="008A16E8" w:rsidRDefault="008A16E8" w:rsidP="008A16E8">
            <w:pPr>
              <w:pStyle w:val="Default"/>
              <w:rPr>
                <w:sz w:val="22"/>
                <w:szCs w:val="22"/>
              </w:rPr>
            </w:pPr>
            <w:r>
              <w:rPr>
                <w:b/>
                <w:bCs/>
                <w:sz w:val="22"/>
                <w:szCs w:val="22"/>
              </w:rPr>
              <w:t xml:space="preserve">Potential benefit: </w:t>
            </w:r>
            <w:r>
              <w:rPr>
                <w:sz w:val="22"/>
                <w:szCs w:val="22"/>
              </w:rPr>
              <w:t>Additional Licensing would bring improved quality and safety of accommodation for B</w:t>
            </w:r>
            <w:r w:rsidR="00BD3BCE">
              <w:rPr>
                <w:sz w:val="22"/>
                <w:szCs w:val="22"/>
              </w:rPr>
              <w:t>A</w:t>
            </w:r>
            <w:r>
              <w:rPr>
                <w:sz w:val="22"/>
                <w:szCs w:val="22"/>
              </w:rPr>
              <w:t>ME tenants living in HMOs and assist in the identification and removal of landlords who cause negative impact to vulnerable B</w:t>
            </w:r>
            <w:r w:rsidR="00BD3BCE">
              <w:rPr>
                <w:sz w:val="22"/>
                <w:szCs w:val="22"/>
              </w:rPr>
              <w:t>A</w:t>
            </w:r>
            <w:r>
              <w:rPr>
                <w:sz w:val="22"/>
                <w:szCs w:val="22"/>
              </w:rPr>
              <w:t xml:space="preserve">ME </w:t>
            </w:r>
            <w:r w:rsidR="003619CB">
              <w:rPr>
                <w:sz w:val="22"/>
                <w:szCs w:val="22"/>
              </w:rPr>
              <w:t xml:space="preserve">groups </w:t>
            </w:r>
            <w:r>
              <w:rPr>
                <w:sz w:val="22"/>
                <w:szCs w:val="22"/>
              </w:rPr>
              <w:t xml:space="preserve">or new communities via substandard or illegal accommodation. </w:t>
            </w:r>
            <w:r w:rsidR="00FD3022">
              <w:rPr>
                <w:sz w:val="22"/>
                <w:szCs w:val="22"/>
              </w:rPr>
              <w:t>This would also be a benefit to all compliant landlords as it would ensure all landlords are operating within the legislative framework.</w:t>
            </w:r>
            <w:r w:rsidR="00DF35EC">
              <w:rPr>
                <w:sz w:val="22"/>
                <w:szCs w:val="22"/>
              </w:rPr>
              <w:t xml:space="preserve"> </w:t>
            </w:r>
            <w:r w:rsidR="00FD3022">
              <w:rPr>
                <w:sz w:val="22"/>
                <w:szCs w:val="22"/>
              </w:rPr>
              <w:t xml:space="preserve"> </w:t>
            </w:r>
          </w:p>
          <w:p w14:paraId="7C710FD0" w14:textId="77777777" w:rsidR="00DF35EC" w:rsidRDefault="00DF35EC" w:rsidP="008A16E8">
            <w:pPr>
              <w:pStyle w:val="Default"/>
              <w:rPr>
                <w:sz w:val="22"/>
                <w:szCs w:val="22"/>
              </w:rPr>
            </w:pPr>
          </w:p>
          <w:p w14:paraId="62C9610E" w14:textId="0B9DBE7A" w:rsidR="00DF35EC" w:rsidRDefault="00DF35EC" w:rsidP="008A16E8">
            <w:pPr>
              <w:pStyle w:val="Default"/>
              <w:rPr>
                <w:sz w:val="22"/>
                <w:szCs w:val="22"/>
              </w:rPr>
            </w:pPr>
            <w:r w:rsidRPr="00DF35EC">
              <w:rPr>
                <w:b/>
                <w:color w:val="auto"/>
                <w:sz w:val="22"/>
                <w:szCs w:val="22"/>
              </w:rPr>
              <w:t>Children and Vulnerable Adults</w:t>
            </w:r>
            <w:r w:rsidRPr="00DF35EC">
              <w:rPr>
                <w:color w:val="auto"/>
                <w:sz w:val="22"/>
                <w:szCs w:val="22"/>
              </w:rPr>
              <w:t xml:space="preserve"> </w:t>
            </w:r>
            <w:r>
              <w:rPr>
                <w:sz w:val="22"/>
                <w:szCs w:val="22"/>
              </w:rPr>
              <w:t>– the licensing scheme will have a positive benefit on the safeguarding of children and vulnerable adults as the fit and proper test will prevent persons managing or being a licence holder who has convictions for se</w:t>
            </w:r>
            <w:r w:rsidR="00E803B0">
              <w:rPr>
                <w:sz w:val="22"/>
                <w:szCs w:val="22"/>
              </w:rPr>
              <w:t>xual offences, drugs, fraud etc.</w:t>
            </w:r>
            <w:r>
              <w:rPr>
                <w:sz w:val="22"/>
                <w:szCs w:val="22"/>
              </w:rPr>
              <w:t xml:space="preserve"> </w:t>
            </w:r>
          </w:p>
          <w:p w14:paraId="1878866A" w14:textId="77777777" w:rsidR="00DF35EC" w:rsidRDefault="00DF35EC" w:rsidP="008A16E8">
            <w:pPr>
              <w:pStyle w:val="Default"/>
              <w:rPr>
                <w:sz w:val="22"/>
                <w:szCs w:val="22"/>
              </w:rPr>
            </w:pPr>
          </w:p>
          <w:p w14:paraId="7B09C573" w14:textId="77777777" w:rsidR="008A16E8" w:rsidRDefault="008A16E8" w:rsidP="008A16E8">
            <w:pPr>
              <w:pStyle w:val="Default"/>
              <w:rPr>
                <w:sz w:val="22"/>
                <w:szCs w:val="22"/>
              </w:rPr>
            </w:pPr>
            <w:r>
              <w:rPr>
                <w:b/>
                <w:bCs/>
                <w:sz w:val="22"/>
                <w:szCs w:val="22"/>
              </w:rPr>
              <w:t xml:space="preserve">Potential adverse impact: </w:t>
            </w:r>
          </w:p>
          <w:p w14:paraId="7946F73E" w14:textId="77777777" w:rsidR="003619CB" w:rsidRDefault="008A16E8" w:rsidP="008A16E8">
            <w:pPr>
              <w:pStyle w:val="Default"/>
              <w:rPr>
                <w:sz w:val="22"/>
                <w:szCs w:val="22"/>
              </w:rPr>
            </w:pPr>
            <w:r>
              <w:rPr>
                <w:b/>
                <w:bCs/>
                <w:i/>
                <w:iCs/>
                <w:sz w:val="22"/>
                <w:szCs w:val="22"/>
              </w:rPr>
              <w:t xml:space="preserve">(a)Landlords </w:t>
            </w:r>
          </w:p>
          <w:p w14:paraId="15948E85" w14:textId="77777777" w:rsidR="003619CB" w:rsidRDefault="003619CB" w:rsidP="003619CB">
            <w:pPr>
              <w:rPr>
                <w:rFonts w:ascii="Arial" w:eastAsiaTheme="minorHAnsi" w:hAnsi="Arial" w:cs="Arial"/>
                <w:color w:val="000000"/>
                <w:sz w:val="22"/>
                <w:szCs w:val="22"/>
                <w:lang w:eastAsia="en-US"/>
              </w:rPr>
            </w:pPr>
            <w:r w:rsidRPr="003619CB">
              <w:rPr>
                <w:rFonts w:ascii="Arial" w:eastAsiaTheme="minorHAnsi" w:hAnsi="Arial" w:cs="Arial"/>
                <w:color w:val="000000"/>
                <w:sz w:val="22"/>
                <w:szCs w:val="22"/>
                <w:lang w:eastAsia="en-US"/>
              </w:rPr>
              <w:t>In regulating hazards in privately rented properties, owners and agents who are regulated against may feel that they have been adversely impacted upon. However there are no other ways in which the service could be provided that would achieve these aims without adverse impact. Ultimately, when working within the legislative framework, people have a right to legal redress should they feel that a decision was unfairly/unlawfully taken; this can be via an appeal process or the Council’s Complaints system</w:t>
            </w:r>
          </w:p>
          <w:p w14:paraId="0C83D651" w14:textId="77777777" w:rsidR="00DF35EC" w:rsidRDefault="00DF35EC" w:rsidP="003619CB">
            <w:pPr>
              <w:rPr>
                <w:rFonts w:ascii="Arial" w:eastAsiaTheme="minorHAnsi" w:hAnsi="Arial" w:cs="Arial"/>
                <w:color w:val="000000"/>
                <w:sz w:val="22"/>
                <w:szCs w:val="22"/>
                <w:lang w:eastAsia="en-US"/>
              </w:rPr>
            </w:pPr>
          </w:p>
          <w:p w14:paraId="6B08828C" w14:textId="77777777" w:rsidR="00501C19" w:rsidRDefault="00CC4B59" w:rsidP="008A16E8">
            <w:pPr>
              <w:pStyle w:val="Default"/>
              <w:rPr>
                <w:sz w:val="22"/>
                <w:szCs w:val="22"/>
              </w:rPr>
            </w:pPr>
            <w:r w:rsidRPr="00501C19">
              <w:rPr>
                <w:sz w:val="22"/>
                <w:szCs w:val="22"/>
              </w:rPr>
              <w:t xml:space="preserve">The Council does not </w:t>
            </w:r>
            <w:r w:rsidR="003619CB" w:rsidRPr="00501C19">
              <w:rPr>
                <w:sz w:val="22"/>
                <w:szCs w:val="22"/>
              </w:rPr>
              <w:t xml:space="preserve">currently </w:t>
            </w:r>
            <w:r w:rsidRPr="00501C19">
              <w:rPr>
                <w:sz w:val="22"/>
                <w:szCs w:val="22"/>
              </w:rPr>
              <w:t>record</w:t>
            </w:r>
            <w:r w:rsidR="004878A7" w:rsidRPr="00501C19">
              <w:rPr>
                <w:sz w:val="22"/>
                <w:szCs w:val="22"/>
              </w:rPr>
              <w:t xml:space="preserve"> the</w:t>
            </w:r>
            <w:r w:rsidRPr="00501C19">
              <w:rPr>
                <w:sz w:val="22"/>
                <w:szCs w:val="22"/>
              </w:rPr>
              <w:t xml:space="preserve"> ethnicity of landlords on applications, however</w:t>
            </w:r>
            <w:r w:rsidR="00501C19" w:rsidRPr="00501C19">
              <w:rPr>
                <w:sz w:val="22"/>
                <w:szCs w:val="22"/>
              </w:rPr>
              <w:t xml:space="preserve"> it is recognised that </w:t>
            </w:r>
            <w:r w:rsidR="003619CB" w:rsidRPr="00501C19">
              <w:rPr>
                <w:sz w:val="22"/>
                <w:szCs w:val="22"/>
              </w:rPr>
              <w:t xml:space="preserve"> landlords were of </w:t>
            </w:r>
            <w:r w:rsidRPr="00501C19">
              <w:rPr>
                <w:sz w:val="22"/>
                <w:szCs w:val="22"/>
              </w:rPr>
              <w:t>South Asian (Indian and Pakistani</w:t>
            </w:r>
            <w:r w:rsidR="003619CB" w:rsidRPr="00501C19">
              <w:rPr>
                <w:sz w:val="22"/>
                <w:szCs w:val="22"/>
              </w:rPr>
              <w:t>) heritage</w:t>
            </w:r>
            <w:r w:rsidR="00501C19" w:rsidRPr="00501C19">
              <w:rPr>
                <w:sz w:val="22"/>
                <w:szCs w:val="22"/>
              </w:rPr>
              <w:t xml:space="preserve"> form a significant part of the landlord community and will be affected by any adverse impacts as all landlords will be. </w:t>
            </w:r>
            <w:r w:rsidR="00DF35EC" w:rsidRPr="00501C19">
              <w:rPr>
                <w:sz w:val="22"/>
                <w:szCs w:val="22"/>
              </w:rPr>
              <w:t xml:space="preserve"> </w:t>
            </w:r>
          </w:p>
          <w:p w14:paraId="3D4353FC" w14:textId="4085131F" w:rsidR="008A16E8" w:rsidRDefault="00CC4B59" w:rsidP="008A16E8">
            <w:pPr>
              <w:pStyle w:val="Default"/>
              <w:rPr>
                <w:sz w:val="22"/>
                <w:szCs w:val="22"/>
              </w:rPr>
            </w:pPr>
            <w:r w:rsidRPr="00501C19">
              <w:rPr>
                <w:sz w:val="22"/>
                <w:szCs w:val="22"/>
              </w:rPr>
              <w:t xml:space="preserve"> </w:t>
            </w:r>
          </w:p>
          <w:p w14:paraId="2EE1ECB1" w14:textId="2CEEACD8" w:rsidR="00BD3BCE" w:rsidRDefault="00501C19" w:rsidP="00BD3BCE">
            <w:pPr>
              <w:pStyle w:val="Default"/>
              <w:rPr>
                <w:sz w:val="22"/>
                <w:szCs w:val="22"/>
              </w:rPr>
            </w:pPr>
            <w:r>
              <w:rPr>
                <w:b/>
                <w:bCs/>
                <w:i/>
                <w:iCs/>
                <w:sz w:val="22"/>
                <w:szCs w:val="22"/>
              </w:rPr>
              <w:t xml:space="preserve"> </w:t>
            </w:r>
            <w:r w:rsidR="00BD3BCE">
              <w:rPr>
                <w:b/>
                <w:bCs/>
                <w:i/>
                <w:iCs/>
                <w:sz w:val="22"/>
                <w:szCs w:val="22"/>
              </w:rPr>
              <w:t xml:space="preserve">(b)Tenants </w:t>
            </w:r>
          </w:p>
          <w:p w14:paraId="1E9A92C2" w14:textId="2C2C3A46" w:rsidR="008A16E8" w:rsidRPr="001F515A" w:rsidRDefault="00BD3BCE" w:rsidP="001F3F67">
            <w:pPr>
              <w:pStyle w:val="Default"/>
              <w:rPr>
                <w:szCs w:val="20"/>
              </w:rPr>
            </w:pPr>
            <w:r>
              <w:rPr>
                <w:sz w:val="22"/>
                <w:szCs w:val="22"/>
              </w:rPr>
              <w:t xml:space="preserve">Concern has been raised that licensing </w:t>
            </w:r>
            <w:r w:rsidR="00B7221E">
              <w:rPr>
                <w:sz w:val="22"/>
                <w:szCs w:val="22"/>
              </w:rPr>
              <w:t>could cause</w:t>
            </w:r>
            <w:r>
              <w:rPr>
                <w:sz w:val="22"/>
                <w:szCs w:val="22"/>
              </w:rPr>
              <w:t xml:space="preserve"> an increase in rents as a result of the increased landlord expenditure on the licence</w:t>
            </w:r>
            <w:r w:rsidR="005F56EB">
              <w:rPr>
                <w:sz w:val="22"/>
                <w:szCs w:val="22"/>
              </w:rPr>
              <w:t xml:space="preserve"> fee </w:t>
            </w:r>
            <w:r>
              <w:rPr>
                <w:sz w:val="22"/>
                <w:szCs w:val="22"/>
              </w:rPr>
              <w:t xml:space="preserve"> and the costs of complying with licensing conditions</w:t>
            </w:r>
            <w:r w:rsidR="00B7221E">
              <w:rPr>
                <w:sz w:val="22"/>
                <w:szCs w:val="22"/>
              </w:rPr>
              <w:t xml:space="preserve"> being passed onto the tenant</w:t>
            </w:r>
            <w:r>
              <w:rPr>
                <w:sz w:val="22"/>
                <w:szCs w:val="22"/>
              </w:rPr>
              <w:t xml:space="preserve">. </w:t>
            </w:r>
            <w:r w:rsidR="00036FC8">
              <w:rPr>
                <w:sz w:val="22"/>
                <w:szCs w:val="22"/>
              </w:rPr>
              <w:t xml:space="preserve"> </w:t>
            </w:r>
            <w:r>
              <w:rPr>
                <w:sz w:val="22"/>
                <w:szCs w:val="22"/>
              </w:rPr>
              <w:t>Overall, the additional cost</w:t>
            </w:r>
            <w:r w:rsidR="005F56EB">
              <w:rPr>
                <w:sz w:val="22"/>
                <w:szCs w:val="22"/>
              </w:rPr>
              <w:t xml:space="preserve"> o</w:t>
            </w:r>
            <w:r w:rsidR="00F354AF">
              <w:rPr>
                <w:sz w:val="22"/>
                <w:szCs w:val="22"/>
              </w:rPr>
              <w:t>f the licence fee</w:t>
            </w:r>
            <w:r>
              <w:rPr>
                <w:sz w:val="22"/>
                <w:szCs w:val="22"/>
              </w:rPr>
              <w:t xml:space="preserve"> to landlords is considered to be small as a proportion of rental income, especially across the term of the licence it should not equate to more than a few pounds per week</w:t>
            </w:r>
            <w:r w:rsidR="00B7221E">
              <w:rPr>
                <w:sz w:val="22"/>
                <w:szCs w:val="22"/>
              </w:rPr>
              <w:t xml:space="preserve"> for compliant landlords</w:t>
            </w:r>
            <w:r w:rsidR="00F354AF">
              <w:rPr>
                <w:sz w:val="22"/>
                <w:szCs w:val="22"/>
              </w:rPr>
              <w:t>.</w:t>
            </w:r>
            <w:r w:rsidR="00B7221E">
              <w:rPr>
                <w:sz w:val="22"/>
                <w:szCs w:val="22"/>
              </w:rPr>
              <w:t xml:space="preserve"> </w:t>
            </w:r>
          </w:p>
        </w:tc>
      </w:tr>
      <w:tr w:rsidR="001F515A" w:rsidRPr="001F515A" w14:paraId="1E9A92CB" w14:textId="77777777" w:rsidTr="00ED20C9">
        <w:tc>
          <w:tcPr>
            <w:tcW w:w="4219" w:type="dxa"/>
            <w:gridSpan w:val="4"/>
          </w:tcPr>
          <w:p w14:paraId="1E9A92C4" w14:textId="2EEE1FFC"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6. Consideration of Measures</w:t>
            </w:r>
            <w:r w:rsidRPr="001F515A">
              <w:rPr>
                <w:rFonts w:ascii="Arial" w:hAnsi="Arial" w:cs="Arial"/>
                <w:szCs w:val="20"/>
                <w:lang w:eastAsia="en-US"/>
              </w:rPr>
              <w:t>:</w:t>
            </w:r>
          </w:p>
          <w:p w14:paraId="1E9A92C5" w14:textId="77777777" w:rsidR="001F515A" w:rsidRPr="001F515A" w:rsidRDefault="001F515A" w:rsidP="001F515A">
            <w:pPr>
              <w:rPr>
                <w:rFonts w:ascii="Arial" w:hAnsi="Arial" w:cs="Arial"/>
                <w:szCs w:val="20"/>
                <w:lang w:eastAsia="en-US"/>
              </w:rPr>
            </w:pPr>
          </w:p>
          <w:p w14:paraId="1E9A92C6"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lastRenderedPageBreak/>
              <w:t>This section should explain in detail all the consideration of alternative approaches/mitigation of adverse impact of the policy</w:t>
            </w:r>
          </w:p>
          <w:p w14:paraId="1E9A92C7" w14:textId="77777777" w:rsidR="001F515A" w:rsidRPr="001F515A" w:rsidRDefault="001F515A" w:rsidP="001F515A">
            <w:pPr>
              <w:rPr>
                <w:rFonts w:ascii="Arial" w:hAnsi="Arial" w:cs="Arial"/>
                <w:szCs w:val="20"/>
                <w:lang w:eastAsia="en-US"/>
              </w:rPr>
            </w:pPr>
          </w:p>
        </w:tc>
        <w:tc>
          <w:tcPr>
            <w:tcW w:w="10915" w:type="dxa"/>
            <w:gridSpan w:val="8"/>
          </w:tcPr>
          <w:p w14:paraId="7FF45171" w14:textId="77777777" w:rsidR="003C118C" w:rsidRDefault="008A16E8" w:rsidP="00F354AF">
            <w:pPr>
              <w:rPr>
                <w:rFonts w:ascii="Arial" w:eastAsiaTheme="minorHAnsi" w:hAnsi="Arial" w:cs="Arial"/>
                <w:color w:val="000000"/>
                <w:sz w:val="22"/>
                <w:szCs w:val="22"/>
                <w:lang w:eastAsia="en-US"/>
              </w:rPr>
            </w:pPr>
            <w:r w:rsidRPr="00F354AF">
              <w:rPr>
                <w:rFonts w:ascii="Arial" w:eastAsiaTheme="minorHAnsi" w:hAnsi="Arial" w:cs="Arial"/>
                <w:color w:val="000000"/>
                <w:sz w:val="22"/>
                <w:szCs w:val="22"/>
                <w:lang w:eastAsia="en-US"/>
              </w:rPr>
              <w:lastRenderedPageBreak/>
              <w:t xml:space="preserve">Alternatives to the renewal of the scheme have been suggested during the consultation exercise. </w:t>
            </w:r>
            <w:r w:rsidR="001F3F67" w:rsidRPr="00F354AF">
              <w:rPr>
                <w:rFonts w:ascii="Arial" w:eastAsiaTheme="minorHAnsi" w:hAnsi="Arial" w:cs="Arial"/>
                <w:color w:val="000000"/>
                <w:sz w:val="22"/>
                <w:szCs w:val="22"/>
                <w:lang w:eastAsia="en-US"/>
              </w:rPr>
              <w:t>T</w:t>
            </w:r>
            <w:r w:rsidRPr="00F354AF">
              <w:rPr>
                <w:rFonts w:ascii="Arial" w:eastAsiaTheme="minorHAnsi" w:hAnsi="Arial" w:cs="Arial"/>
                <w:color w:val="000000"/>
                <w:sz w:val="22"/>
                <w:szCs w:val="22"/>
                <w:lang w:eastAsia="en-US"/>
              </w:rPr>
              <w:t xml:space="preserve">hese suggestions have been considered and can be found in Appendix </w:t>
            </w:r>
            <w:r w:rsidR="001F3F67" w:rsidRPr="00F354AF">
              <w:rPr>
                <w:rFonts w:ascii="Arial" w:eastAsiaTheme="minorHAnsi" w:hAnsi="Arial" w:cs="Arial"/>
                <w:color w:val="000000"/>
                <w:sz w:val="22"/>
                <w:szCs w:val="22"/>
                <w:lang w:eastAsia="en-US"/>
              </w:rPr>
              <w:t>2</w:t>
            </w:r>
            <w:r w:rsidR="00F354AF" w:rsidRPr="00F354AF">
              <w:rPr>
                <w:rFonts w:ascii="Arial" w:eastAsiaTheme="minorHAnsi" w:hAnsi="Arial" w:cs="Arial"/>
                <w:color w:val="000000"/>
                <w:sz w:val="22"/>
                <w:szCs w:val="22"/>
                <w:lang w:eastAsia="en-US"/>
              </w:rPr>
              <w:t xml:space="preserve"> of the main report. The majority of </w:t>
            </w:r>
            <w:r w:rsidR="00F354AF" w:rsidRPr="00F354AF">
              <w:rPr>
                <w:rFonts w:ascii="Arial" w:eastAsiaTheme="minorHAnsi" w:hAnsi="Arial" w:cs="Arial"/>
                <w:color w:val="000000"/>
                <w:sz w:val="22"/>
                <w:szCs w:val="22"/>
                <w:lang w:eastAsia="en-US"/>
              </w:rPr>
              <w:lastRenderedPageBreak/>
              <w:t>alternatives are based on voluntary schemes or rely upon tenants making complaints to the Council</w:t>
            </w:r>
            <w:r w:rsidR="00F354AF">
              <w:rPr>
                <w:rFonts w:ascii="Arial" w:eastAsiaTheme="minorHAnsi" w:hAnsi="Arial" w:cs="Arial"/>
                <w:color w:val="000000"/>
                <w:sz w:val="22"/>
                <w:szCs w:val="22"/>
                <w:lang w:eastAsia="en-US"/>
              </w:rPr>
              <w:t xml:space="preserve"> and would not be enforceable. </w:t>
            </w:r>
          </w:p>
          <w:p w14:paraId="588412CF" w14:textId="77777777" w:rsidR="00755A67" w:rsidRDefault="00755A67" w:rsidP="00F354AF">
            <w:pPr>
              <w:rPr>
                <w:rFonts w:ascii="Arial" w:eastAsiaTheme="minorHAnsi" w:hAnsi="Arial" w:cs="Arial"/>
                <w:color w:val="000000"/>
                <w:sz w:val="22"/>
                <w:szCs w:val="22"/>
                <w:lang w:eastAsia="en-US"/>
              </w:rPr>
            </w:pPr>
            <w:r w:rsidRPr="00755A67">
              <w:rPr>
                <w:rFonts w:ascii="Arial" w:eastAsiaTheme="minorHAnsi" w:hAnsi="Arial" w:cs="Arial"/>
                <w:color w:val="000000"/>
                <w:sz w:val="22"/>
                <w:szCs w:val="22"/>
                <w:lang w:eastAsia="en-US"/>
              </w:rPr>
              <w:t>The fee and charges structure associated with licensing of HMOs has been reviewed following the consultation and developed taking account of the impact this has on landlords generally</w:t>
            </w:r>
          </w:p>
          <w:p w14:paraId="5B699702" w14:textId="77777777" w:rsidR="00755A67" w:rsidRDefault="00755A67" w:rsidP="00F354AF">
            <w:pPr>
              <w:rPr>
                <w:rFonts w:ascii="Arial" w:eastAsiaTheme="minorHAnsi" w:hAnsi="Arial" w:cs="Arial"/>
                <w:bCs/>
                <w:color w:val="000000"/>
                <w:sz w:val="22"/>
                <w:szCs w:val="22"/>
                <w:lang w:eastAsia="en-US"/>
              </w:rPr>
            </w:pPr>
            <w:r w:rsidRPr="00EC1E9C">
              <w:rPr>
                <w:rFonts w:ascii="Arial" w:eastAsiaTheme="minorHAnsi" w:hAnsi="Arial" w:cs="Arial"/>
                <w:bCs/>
                <w:color w:val="000000"/>
                <w:sz w:val="22"/>
                <w:szCs w:val="22"/>
                <w:lang w:eastAsia="en-US"/>
              </w:rPr>
              <w:t>Enforcement action is reviewed in each case by senior officers and where prosecution or service of financial penalties are being considered ,by Law and Governance to ensure that the council is being fair, consistent and proportionate in its responses, as well as acting in the public interest</w:t>
            </w:r>
          </w:p>
          <w:p w14:paraId="7CD31EEF" w14:textId="77777777" w:rsidR="00501C19" w:rsidRDefault="00501C19" w:rsidP="00501C19">
            <w:pPr>
              <w:pStyle w:val="Default"/>
              <w:rPr>
                <w:sz w:val="22"/>
                <w:szCs w:val="22"/>
              </w:rPr>
            </w:pPr>
            <w:r>
              <w:rPr>
                <w:sz w:val="22"/>
                <w:szCs w:val="22"/>
              </w:rPr>
              <w:t xml:space="preserve">It is acknowledged that HMO licensing is complex , however experience of operating schemes over the last 10 years have seen improvements which are not isolated to one sector of the landlord community. It is clear that effective engagement with landlords through dialogue and training will be required to ensure that different communities understand what licensing means for them, what is expected of landlords and that they are able to comply with the requirements. </w:t>
            </w:r>
          </w:p>
          <w:p w14:paraId="1E9A92CA" w14:textId="5DD28031" w:rsidR="00501C19" w:rsidRPr="001F3F67" w:rsidRDefault="00501C19" w:rsidP="00F354AF">
            <w:pPr>
              <w:rPr>
                <w:rFonts w:ascii="Arial" w:hAnsi="Arial" w:cs="Arial"/>
                <w:szCs w:val="20"/>
                <w:lang w:eastAsia="en-US"/>
              </w:rPr>
            </w:pPr>
          </w:p>
        </w:tc>
      </w:tr>
      <w:tr w:rsidR="001F515A" w:rsidRPr="001F515A" w14:paraId="1E9A92D1" w14:textId="77777777" w:rsidTr="00ED20C9">
        <w:trPr>
          <w:trHeight w:val="359"/>
        </w:trPr>
        <w:tc>
          <w:tcPr>
            <w:tcW w:w="4219" w:type="dxa"/>
            <w:gridSpan w:val="4"/>
          </w:tcPr>
          <w:p w14:paraId="1E9A92CC" w14:textId="77777777"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lastRenderedPageBreak/>
              <w:t>6a. Monitoring Arrangements:</w:t>
            </w:r>
          </w:p>
          <w:p w14:paraId="1E9A92CD" w14:textId="77777777" w:rsidR="001F515A" w:rsidRPr="001F515A" w:rsidRDefault="001F515A" w:rsidP="001F515A">
            <w:pPr>
              <w:rPr>
                <w:rFonts w:ascii="Arial" w:hAnsi="Arial" w:cs="Arial"/>
                <w:snapToGrid w:val="0"/>
                <w:color w:val="000000"/>
                <w:szCs w:val="20"/>
                <w:lang w:eastAsia="en-US"/>
              </w:rPr>
            </w:pPr>
          </w:p>
          <w:p w14:paraId="1E9A92CE" w14:textId="77777777"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14:paraId="5F7DDFF4" w14:textId="77777777" w:rsidR="008A16E8" w:rsidRPr="00EC1E9C" w:rsidRDefault="008A16E8" w:rsidP="008A16E8">
            <w:pPr>
              <w:pStyle w:val="Default"/>
              <w:rPr>
                <w:bCs/>
                <w:sz w:val="22"/>
                <w:szCs w:val="22"/>
              </w:rPr>
            </w:pPr>
            <w:r w:rsidRPr="00EC1E9C">
              <w:rPr>
                <w:bCs/>
                <w:sz w:val="22"/>
                <w:szCs w:val="22"/>
              </w:rPr>
              <w:t xml:space="preserve">The positive impact of the scheme - improved property conditions, safety, tenancy management, community relations and reduced ASB - can be continually improved via monitoring and enforcement action against non-compliant landlords </w:t>
            </w:r>
          </w:p>
          <w:p w14:paraId="1A52A07A" w14:textId="57A0586E" w:rsidR="008A16E8" w:rsidRPr="00EC1E9C" w:rsidRDefault="008A16E8" w:rsidP="008A16E8">
            <w:pPr>
              <w:pStyle w:val="Default"/>
              <w:rPr>
                <w:bCs/>
                <w:sz w:val="22"/>
                <w:szCs w:val="22"/>
              </w:rPr>
            </w:pPr>
            <w:r w:rsidRPr="001F3F67">
              <w:rPr>
                <w:bCs/>
                <w:sz w:val="22"/>
                <w:szCs w:val="22"/>
              </w:rPr>
              <w:t>Ongoing liaison and engagement directly with and with groups representing landlords, tenants and their component communities will be undertaken to ensure engagement with a broad range of stakeholders. Issues of communication and understanding in respect of learning from the existing scheme and for any new scheme will be factored into operational delivery</w:t>
            </w:r>
            <w:r w:rsidRPr="00EC1E9C">
              <w:rPr>
                <w:bCs/>
                <w:sz w:val="22"/>
                <w:szCs w:val="22"/>
              </w:rPr>
              <w:t xml:space="preserve">. </w:t>
            </w:r>
          </w:p>
          <w:p w14:paraId="6F0072A6" w14:textId="77777777" w:rsidR="00755A67" w:rsidRPr="00EC1E9C" w:rsidRDefault="00755A67" w:rsidP="00755A67">
            <w:pPr>
              <w:pStyle w:val="Default"/>
              <w:rPr>
                <w:bCs/>
                <w:sz w:val="22"/>
                <w:szCs w:val="22"/>
              </w:rPr>
            </w:pPr>
            <w:r w:rsidRPr="00EC1E9C">
              <w:rPr>
                <w:bCs/>
                <w:sz w:val="22"/>
                <w:szCs w:val="22"/>
              </w:rPr>
              <w:t xml:space="preserve">It is felt that overall the benefits of additional licensing outweigh the potential disadvantages; it is believed will have a positive impact on the groups that use HMO accommodation , including vulnerable, low income or otherwise economically disadvantaged </w:t>
            </w:r>
          </w:p>
          <w:p w14:paraId="1E9A92D0" w14:textId="030937F2" w:rsidR="001F515A" w:rsidRPr="00EC1E9C" w:rsidRDefault="001F515A" w:rsidP="00755A67">
            <w:pPr>
              <w:rPr>
                <w:rFonts w:ascii="Arial" w:eastAsiaTheme="minorHAnsi" w:hAnsi="Arial" w:cs="Arial"/>
                <w:bCs/>
                <w:color w:val="000000"/>
                <w:sz w:val="22"/>
                <w:szCs w:val="22"/>
                <w:lang w:eastAsia="en-US"/>
              </w:rPr>
            </w:pPr>
          </w:p>
        </w:tc>
      </w:tr>
      <w:tr w:rsidR="001F515A" w:rsidRPr="001F515A" w14:paraId="1E9A92D4" w14:textId="77777777" w:rsidTr="00ED20C9">
        <w:tc>
          <w:tcPr>
            <w:tcW w:w="4219" w:type="dxa"/>
            <w:gridSpan w:val="4"/>
          </w:tcPr>
          <w:p w14:paraId="1E9A92D2" w14:textId="714BCB87" w:rsidR="001F515A" w:rsidRPr="001F515A" w:rsidRDefault="001F515A" w:rsidP="007C3638">
            <w:pPr>
              <w:rPr>
                <w:rFonts w:ascii="Arial" w:hAnsi="Arial" w:cs="Arial"/>
                <w:szCs w:val="20"/>
                <w:lang w:eastAsia="en-US"/>
              </w:rPr>
            </w:pPr>
            <w:r w:rsidRPr="001F515A">
              <w:rPr>
                <w:rFonts w:ascii="Arial" w:hAnsi="Arial" w:cs="Arial"/>
                <w:b/>
                <w:szCs w:val="20"/>
                <w:lang w:eastAsia="en-US"/>
              </w:rPr>
              <w:t xml:space="preserve">7. Date reported and signed off by </w:t>
            </w:r>
            <w:r w:rsidR="007C3638">
              <w:rPr>
                <w:rFonts w:ascii="Arial" w:hAnsi="Arial" w:cs="Arial"/>
                <w:b/>
                <w:szCs w:val="20"/>
                <w:lang w:eastAsia="en-US"/>
              </w:rPr>
              <w:t>Cabinet</w:t>
            </w:r>
            <w:r w:rsidRPr="001F515A">
              <w:rPr>
                <w:rFonts w:ascii="Arial" w:hAnsi="Arial" w:cs="Arial"/>
                <w:b/>
                <w:szCs w:val="20"/>
                <w:lang w:eastAsia="en-US"/>
              </w:rPr>
              <w:t xml:space="preserve">: </w:t>
            </w:r>
          </w:p>
        </w:tc>
        <w:tc>
          <w:tcPr>
            <w:tcW w:w="10915" w:type="dxa"/>
            <w:gridSpan w:val="8"/>
          </w:tcPr>
          <w:p w14:paraId="1E9A92D3" w14:textId="0B61B0F1" w:rsidR="001F515A" w:rsidRPr="001F515A" w:rsidRDefault="001F3F67" w:rsidP="00760DAE">
            <w:pPr>
              <w:rPr>
                <w:rFonts w:ascii="Arial" w:hAnsi="Arial" w:cs="Arial"/>
                <w:szCs w:val="20"/>
                <w:lang w:eastAsia="en-US"/>
              </w:rPr>
            </w:pPr>
            <w:r>
              <w:rPr>
                <w:rFonts w:ascii="Arial" w:hAnsi="Arial" w:cs="Arial"/>
                <w:szCs w:val="20"/>
                <w:lang w:eastAsia="en-US"/>
              </w:rPr>
              <w:t>10</w:t>
            </w:r>
            <w:r w:rsidRPr="001F3F67">
              <w:rPr>
                <w:rFonts w:ascii="Arial" w:hAnsi="Arial" w:cs="Arial"/>
                <w:szCs w:val="20"/>
                <w:vertAlign w:val="superscript"/>
                <w:lang w:eastAsia="en-US"/>
              </w:rPr>
              <w:t>th</w:t>
            </w:r>
            <w:r>
              <w:rPr>
                <w:rFonts w:ascii="Arial" w:hAnsi="Arial" w:cs="Arial"/>
                <w:szCs w:val="20"/>
                <w:lang w:eastAsia="en-US"/>
              </w:rPr>
              <w:t xml:space="preserve"> March 2021</w:t>
            </w:r>
          </w:p>
        </w:tc>
      </w:tr>
      <w:tr w:rsidR="001F515A" w:rsidRPr="001F515A" w14:paraId="1E9A92D9" w14:textId="77777777" w:rsidTr="00ED20C9">
        <w:trPr>
          <w:trHeight w:val="782"/>
        </w:trPr>
        <w:tc>
          <w:tcPr>
            <w:tcW w:w="4219" w:type="dxa"/>
            <w:gridSpan w:val="4"/>
          </w:tcPr>
          <w:p w14:paraId="1E9A92D5"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14:paraId="1E9A92D6" w14:textId="77777777" w:rsidR="001F515A" w:rsidRPr="001F515A" w:rsidRDefault="001F515A" w:rsidP="001F515A">
            <w:pPr>
              <w:rPr>
                <w:rFonts w:ascii="Arial" w:hAnsi="Arial" w:cs="Arial"/>
                <w:szCs w:val="20"/>
                <w:lang w:eastAsia="en-US"/>
              </w:rPr>
            </w:pPr>
          </w:p>
          <w:p w14:paraId="1E9A92D7" w14:textId="77777777"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14:paraId="1E9A92D8" w14:textId="77777777" w:rsidR="003C118C" w:rsidRPr="001F515A" w:rsidRDefault="003C118C" w:rsidP="0006524C">
            <w:pPr>
              <w:rPr>
                <w:rFonts w:ascii="Arial" w:hAnsi="Arial" w:cs="Arial"/>
                <w:b/>
                <w:szCs w:val="20"/>
                <w:lang w:eastAsia="en-US"/>
              </w:rPr>
            </w:pPr>
          </w:p>
        </w:tc>
      </w:tr>
      <w:tr w:rsidR="00ED20C9" w:rsidRPr="001F515A" w14:paraId="1E9A92E1" w14:textId="77777777" w:rsidTr="00ED20C9">
        <w:trPr>
          <w:trHeight w:val="1000"/>
        </w:trPr>
        <w:tc>
          <w:tcPr>
            <w:tcW w:w="3369" w:type="dxa"/>
            <w:gridSpan w:val="3"/>
            <w:vAlign w:val="center"/>
          </w:tcPr>
          <w:p w14:paraId="1E9A92DA"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lastRenderedPageBreak/>
              <w:t xml:space="preserve">9. Are there implications for the Service Plans? </w:t>
            </w:r>
          </w:p>
        </w:tc>
        <w:tc>
          <w:tcPr>
            <w:tcW w:w="1959" w:type="dxa"/>
            <w:gridSpan w:val="2"/>
            <w:vAlign w:val="center"/>
          </w:tcPr>
          <w:p w14:paraId="1E9A92DB" w14:textId="77777777" w:rsidR="00ED20C9" w:rsidRPr="001F515A" w:rsidRDefault="00ED20C9" w:rsidP="001F515A">
            <w:pPr>
              <w:jc w:val="center"/>
              <w:rPr>
                <w:rFonts w:ascii="Arial" w:hAnsi="Arial" w:cs="Arial"/>
                <w:bCs/>
                <w:szCs w:val="20"/>
                <w:lang w:eastAsia="en-US"/>
              </w:rPr>
            </w:pPr>
            <w:r w:rsidRPr="00ED20C9">
              <w:rPr>
                <w:rFonts w:ascii="Arial" w:hAnsi="Arial" w:cs="Arial"/>
                <w:bCs/>
                <w:szCs w:val="20"/>
                <w:lang w:eastAsia="en-US"/>
              </w:rPr>
              <w:t>YES</w:t>
            </w:r>
            <w:r w:rsidR="0006524C">
              <w:rPr>
                <w:rFonts w:ascii="Arial" w:hAnsi="Arial" w:cs="Arial"/>
                <w:bCs/>
                <w:szCs w:val="20"/>
                <w:lang w:eastAsia="en-US"/>
              </w:rPr>
              <w:t>/NO</w:t>
            </w:r>
          </w:p>
        </w:tc>
        <w:tc>
          <w:tcPr>
            <w:tcW w:w="3180" w:type="dxa"/>
            <w:gridSpan w:val="3"/>
            <w:vAlign w:val="center"/>
          </w:tcPr>
          <w:p w14:paraId="1E9A92DC" w14:textId="77777777"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14:paraId="1E9A92DD" w14:textId="77777777" w:rsidR="00ED20C9" w:rsidRPr="001F515A" w:rsidRDefault="00ED20C9" w:rsidP="00760DAE">
            <w:pPr>
              <w:rPr>
                <w:rFonts w:ascii="Arial" w:hAnsi="Arial" w:cs="Arial"/>
                <w:szCs w:val="20"/>
                <w:lang w:eastAsia="en-US"/>
              </w:rPr>
            </w:pPr>
          </w:p>
        </w:tc>
        <w:tc>
          <w:tcPr>
            <w:tcW w:w="2409" w:type="dxa"/>
            <w:vAlign w:val="center"/>
          </w:tcPr>
          <w:p w14:paraId="1E9A92DE" w14:textId="77777777"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14:paraId="1E9A92DF" w14:textId="77777777" w:rsidR="00ED20C9" w:rsidRPr="001F515A" w:rsidRDefault="00ED20C9" w:rsidP="001F515A">
            <w:pPr>
              <w:rPr>
                <w:rFonts w:ascii="Arial" w:hAnsi="Arial" w:cs="Arial"/>
                <w:b/>
                <w:szCs w:val="20"/>
                <w:lang w:eastAsia="en-US"/>
              </w:rPr>
            </w:pPr>
          </w:p>
        </w:tc>
        <w:tc>
          <w:tcPr>
            <w:tcW w:w="1418" w:type="dxa"/>
            <w:vAlign w:val="center"/>
          </w:tcPr>
          <w:p w14:paraId="1E9A92E0" w14:textId="77777777" w:rsidR="00ED20C9" w:rsidRPr="001F515A" w:rsidRDefault="00ED20C9" w:rsidP="001F515A">
            <w:pPr>
              <w:rPr>
                <w:rFonts w:ascii="Arial" w:hAnsi="Arial" w:cs="Arial"/>
                <w:szCs w:val="20"/>
                <w:lang w:eastAsia="en-US"/>
              </w:rPr>
            </w:pPr>
          </w:p>
        </w:tc>
      </w:tr>
      <w:tr w:rsidR="00ED20C9" w:rsidRPr="001F515A" w14:paraId="1E9A92E8" w14:textId="77777777" w:rsidTr="00ED20C9">
        <w:trPr>
          <w:trHeight w:val="1000"/>
        </w:trPr>
        <w:tc>
          <w:tcPr>
            <w:tcW w:w="3369" w:type="dxa"/>
            <w:gridSpan w:val="3"/>
            <w:vAlign w:val="center"/>
          </w:tcPr>
          <w:p w14:paraId="1E9A92E2" w14:textId="4A2FE5BF" w:rsidR="00ED20C9" w:rsidRPr="001F515A" w:rsidRDefault="00ED20C9" w:rsidP="005410C7">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 xml:space="preserve">13. Date reported to Scrutiny and </w:t>
            </w:r>
            <w:r w:rsidR="005410C7">
              <w:rPr>
                <w:rFonts w:ascii="Arial" w:hAnsi="Arial" w:cs="Arial"/>
                <w:b/>
                <w:bCs/>
                <w:szCs w:val="20"/>
                <w:lang w:eastAsia="en-US"/>
              </w:rPr>
              <w:t>Cabinet</w:t>
            </w:r>
          </w:p>
        </w:tc>
        <w:tc>
          <w:tcPr>
            <w:tcW w:w="1959" w:type="dxa"/>
            <w:gridSpan w:val="2"/>
            <w:vAlign w:val="center"/>
          </w:tcPr>
          <w:p w14:paraId="1E9A92E3" w14:textId="77777777" w:rsidR="00ED20C9" w:rsidRPr="001F515A" w:rsidRDefault="00ED20C9" w:rsidP="001F515A">
            <w:pPr>
              <w:jc w:val="center"/>
              <w:rPr>
                <w:rFonts w:ascii="Arial" w:hAnsi="Arial" w:cs="Arial"/>
                <w:b/>
                <w:szCs w:val="20"/>
                <w:lang w:eastAsia="en-US"/>
              </w:rPr>
            </w:pPr>
          </w:p>
        </w:tc>
        <w:tc>
          <w:tcPr>
            <w:tcW w:w="3180" w:type="dxa"/>
            <w:gridSpan w:val="3"/>
            <w:vAlign w:val="center"/>
          </w:tcPr>
          <w:p w14:paraId="1E9A92E4" w14:textId="2042FAC3" w:rsidR="00ED20C9" w:rsidRPr="001F515A" w:rsidRDefault="00ED20C9" w:rsidP="005410C7">
            <w:pPr>
              <w:rPr>
                <w:rFonts w:ascii="Arial" w:hAnsi="Arial" w:cs="Arial"/>
                <w:b/>
                <w:bCs/>
                <w:szCs w:val="20"/>
                <w:lang w:eastAsia="en-US"/>
              </w:rPr>
            </w:pPr>
            <w:r w:rsidRPr="001F515A">
              <w:rPr>
                <w:rFonts w:ascii="Arial" w:hAnsi="Arial" w:cs="Arial"/>
                <w:b/>
                <w:szCs w:val="20"/>
                <w:lang w:eastAsia="en-US"/>
              </w:rPr>
              <w:t xml:space="preserve">14. Date reported to </w:t>
            </w:r>
            <w:r w:rsidR="005410C7">
              <w:rPr>
                <w:rFonts w:ascii="Arial" w:hAnsi="Arial" w:cs="Arial"/>
                <w:b/>
                <w:szCs w:val="20"/>
                <w:lang w:eastAsia="en-US"/>
              </w:rPr>
              <w:t>Cabinet</w:t>
            </w:r>
          </w:p>
        </w:tc>
        <w:tc>
          <w:tcPr>
            <w:tcW w:w="2799" w:type="dxa"/>
            <w:gridSpan w:val="2"/>
            <w:vAlign w:val="center"/>
          </w:tcPr>
          <w:p w14:paraId="1E9A92E5" w14:textId="77777777" w:rsidR="00ED20C9" w:rsidRPr="001F515A" w:rsidRDefault="00ED20C9" w:rsidP="00760DAE">
            <w:pPr>
              <w:rPr>
                <w:rFonts w:ascii="Arial" w:hAnsi="Arial" w:cs="Arial"/>
                <w:szCs w:val="20"/>
                <w:lang w:eastAsia="en-US"/>
              </w:rPr>
            </w:pPr>
          </w:p>
        </w:tc>
        <w:tc>
          <w:tcPr>
            <w:tcW w:w="2409" w:type="dxa"/>
            <w:vAlign w:val="center"/>
          </w:tcPr>
          <w:p w14:paraId="1E9A92E6"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14:paraId="1E9A92E7" w14:textId="77777777" w:rsidR="00ED20C9" w:rsidRPr="001F515A" w:rsidRDefault="00ED20C9" w:rsidP="00760DAE">
            <w:pPr>
              <w:rPr>
                <w:rFonts w:ascii="Arial" w:hAnsi="Arial" w:cs="Arial"/>
                <w:szCs w:val="20"/>
                <w:lang w:eastAsia="en-US"/>
              </w:rPr>
            </w:pPr>
          </w:p>
        </w:tc>
      </w:tr>
    </w:tbl>
    <w:p w14:paraId="1E9A92E9" w14:textId="77777777" w:rsidR="001F515A" w:rsidRPr="001F515A" w:rsidRDefault="001F515A" w:rsidP="001F515A">
      <w:pPr>
        <w:rPr>
          <w:rFonts w:ascii="Arial" w:hAnsi="Arial" w:cs="Arial"/>
          <w:szCs w:val="20"/>
          <w:lang w:eastAsia="en-US"/>
        </w:rPr>
      </w:pPr>
    </w:p>
    <w:p w14:paraId="1E9A92EA" w14:textId="1AB20CDD"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001F3F67">
        <w:rPr>
          <w:rFonts w:ascii="Arial" w:hAnsi="Arial" w:cs="Arial"/>
          <w:szCs w:val="20"/>
          <w:lang w:eastAsia="en-US"/>
        </w:rPr>
        <w:t xml:space="preserve"> Gail Siddall</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14:paraId="1E9A92EB" w14:textId="77777777" w:rsidR="001F515A" w:rsidRPr="001F515A" w:rsidRDefault="001F515A" w:rsidP="001F515A">
      <w:pPr>
        <w:rPr>
          <w:rFonts w:ascii="Arial" w:hAnsi="Arial" w:cs="Arial"/>
          <w:szCs w:val="20"/>
          <w:lang w:eastAsia="en-US"/>
        </w:rPr>
      </w:pPr>
    </w:p>
    <w:p w14:paraId="1E9A92EC"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14:paraId="1E9A92ED" w14:textId="77777777" w:rsidR="001F515A" w:rsidRPr="001F515A" w:rsidRDefault="001F515A" w:rsidP="001F515A">
      <w:pPr>
        <w:rPr>
          <w:rFonts w:ascii="Arial" w:hAnsi="Arial" w:cs="Arial"/>
          <w:szCs w:val="20"/>
          <w:lang w:eastAsia="en-US"/>
        </w:rPr>
      </w:pPr>
    </w:p>
    <w:p w14:paraId="1E9A92EE" w14:textId="77777777" w:rsidR="001F515A" w:rsidRPr="00A5175C" w:rsidRDefault="00D40A0A" w:rsidP="001F515A">
      <w:pPr>
        <w:rPr>
          <w:rFonts w:ascii="Arial" w:hAnsi="Arial" w:cs="Arial"/>
          <w:szCs w:val="20"/>
          <w:lang w:eastAsia="en-US"/>
        </w:rPr>
      </w:pPr>
      <w:r>
        <w:rPr>
          <w:rFonts w:ascii="Arial" w:hAnsi="Arial" w:cs="Arial"/>
          <w:szCs w:val="20"/>
          <w:lang w:eastAsia="en-US"/>
        </w:rPr>
        <w:t>Equalities Lead Officer</w:t>
      </w:r>
    </w:p>
    <w:p w14:paraId="1E9A92EF" w14:textId="3BA4303C" w:rsidR="001F515A" w:rsidRPr="00A5175C" w:rsidRDefault="00A5175C" w:rsidP="00B21479">
      <w:pPr>
        <w:rPr>
          <w:rFonts w:ascii="Arial" w:hAnsi="Arial" w:cs="Arial"/>
          <w:szCs w:val="20"/>
          <w:lang w:eastAsia="en-US"/>
        </w:rPr>
      </w:pPr>
      <w:r w:rsidRPr="00A5175C">
        <w:rPr>
          <w:rFonts w:ascii="Arial" w:hAnsi="Arial" w:cs="Arial"/>
          <w:szCs w:val="20"/>
          <w:lang w:eastAsia="en-US"/>
        </w:rPr>
        <w:t>S</w:t>
      </w:r>
      <w:r w:rsidR="00817AC6" w:rsidRPr="00A5175C">
        <w:rPr>
          <w:rFonts w:ascii="Arial" w:hAnsi="Arial" w:cs="Arial"/>
          <w:szCs w:val="20"/>
          <w:lang w:eastAsia="en-US"/>
        </w:rPr>
        <w:t xml:space="preserve">ervice </w:t>
      </w:r>
      <w:r w:rsidRPr="00A5175C">
        <w:rPr>
          <w:rFonts w:ascii="Arial" w:hAnsi="Arial" w:cs="Arial"/>
          <w:szCs w:val="20"/>
          <w:lang w:eastAsia="en-US"/>
        </w:rPr>
        <w:t>M</w:t>
      </w:r>
      <w:r w:rsidR="00817AC6" w:rsidRPr="00A5175C">
        <w:rPr>
          <w:rFonts w:ascii="Arial" w:hAnsi="Arial" w:cs="Arial"/>
          <w:szCs w:val="20"/>
          <w:lang w:eastAsia="en-US"/>
        </w:rPr>
        <w:t>anager</w:t>
      </w:r>
      <w:r w:rsidR="001F3F67">
        <w:rPr>
          <w:rFonts w:ascii="Arial" w:hAnsi="Arial" w:cs="Arial"/>
          <w:szCs w:val="20"/>
          <w:lang w:eastAsia="en-US"/>
        </w:rPr>
        <w:t xml:space="preserve"> </w:t>
      </w:r>
    </w:p>
    <w:p w14:paraId="1E9A92F0" w14:textId="04E77028" w:rsidR="00817AC6" w:rsidRPr="00A5175C" w:rsidRDefault="003C118C" w:rsidP="00B21479">
      <w:pPr>
        <w:rPr>
          <w:rFonts w:ascii="Arial" w:hAnsi="Arial" w:cs="Arial"/>
          <w:szCs w:val="20"/>
          <w:lang w:eastAsia="en-US"/>
        </w:rPr>
      </w:pPr>
      <w:r>
        <w:rPr>
          <w:rFonts w:ascii="Arial" w:hAnsi="Arial" w:cs="Arial"/>
          <w:szCs w:val="20"/>
          <w:lang w:eastAsia="en-US"/>
        </w:rPr>
        <w:t>Legal Services</w:t>
      </w:r>
      <w:r w:rsidR="009138E4">
        <w:rPr>
          <w:rFonts w:ascii="Arial" w:hAnsi="Arial" w:cs="Arial"/>
          <w:szCs w:val="20"/>
          <w:lang w:eastAsia="en-US"/>
        </w:rPr>
        <w:t xml:space="preserve"> Manager</w:t>
      </w:r>
    </w:p>
    <w:p w14:paraId="1E9A92F1" w14:textId="77777777" w:rsidR="00817AC6" w:rsidRDefault="00817AC6" w:rsidP="00B21479"/>
    <w:p w14:paraId="1E9A92F2" w14:textId="77777777" w:rsidR="00C521F6" w:rsidRPr="003814CE" w:rsidRDefault="00C521F6" w:rsidP="00C521F6">
      <w:pPr>
        <w:ind w:left="426" w:hanging="426"/>
        <w:rPr>
          <w:b/>
        </w:rPr>
      </w:pPr>
      <w:r w:rsidRPr="003814CE">
        <w:rPr>
          <w:b/>
        </w:rPr>
        <w:br/>
      </w:r>
    </w:p>
    <w:p w14:paraId="1E9A92F3" w14:textId="77777777" w:rsidR="00B21479" w:rsidRPr="008A22C6" w:rsidRDefault="00B21479" w:rsidP="00B21479"/>
    <w:sectPr w:rsidR="00B21479" w:rsidRPr="008A22C6" w:rsidSect="001F515A">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92F9" w14:textId="77777777" w:rsidR="007F6D43" w:rsidRDefault="007F6D43" w:rsidP="00B21479">
      <w:r>
        <w:separator/>
      </w:r>
    </w:p>
  </w:endnote>
  <w:endnote w:type="continuationSeparator" w:id="0">
    <w:p w14:paraId="1E9A92FA" w14:textId="77777777" w:rsidR="007F6D43" w:rsidRDefault="007F6D4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115F5" w14:textId="77777777" w:rsidR="00135E02" w:rsidRDefault="00135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92FE" w14:textId="77777777"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135E02">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135E02">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6B403" w14:textId="77777777" w:rsidR="00135E02" w:rsidRDefault="00135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92F7" w14:textId="77777777" w:rsidR="007F6D43" w:rsidRDefault="007F6D43" w:rsidP="00B21479">
      <w:r>
        <w:separator/>
      </w:r>
    </w:p>
  </w:footnote>
  <w:footnote w:type="continuationSeparator" w:id="0">
    <w:p w14:paraId="1E9A92F8" w14:textId="77777777" w:rsidR="007F6D43" w:rsidRDefault="007F6D43"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2412" w14:textId="77777777" w:rsidR="00135E02" w:rsidRDefault="00135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6C41" w14:textId="7B5D5C35" w:rsidR="00135E02" w:rsidRPr="00135E02" w:rsidRDefault="00135E02">
    <w:pPr>
      <w:pStyle w:val="Heade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bookmarkStart w:id="0" w:name="_GoBack"/>
    <w:bookmarkEnd w:id="0"/>
    <w:r w:rsidRPr="00135E02">
      <w:rPr>
        <w:rFonts w:ascii="Arial" w:hAnsi="Arial" w:cs="Arial"/>
        <w:sz w:val="48"/>
        <w:szCs w:val="48"/>
      </w:rPr>
      <w:t>Appendix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2686" w14:textId="77777777" w:rsidR="00135E02" w:rsidRDefault="00135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623DA"/>
    <w:multiLevelType w:val="hybridMultilevel"/>
    <w:tmpl w:val="4456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36226"/>
    <w:multiLevelType w:val="hybridMultilevel"/>
    <w:tmpl w:val="3FD2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36FC8"/>
    <w:rsid w:val="00041903"/>
    <w:rsid w:val="0006524C"/>
    <w:rsid w:val="00080850"/>
    <w:rsid w:val="000864FA"/>
    <w:rsid w:val="00097509"/>
    <w:rsid w:val="000B0D2A"/>
    <w:rsid w:val="000B4310"/>
    <w:rsid w:val="000F19D7"/>
    <w:rsid w:val="000F3BAB"/>
    <w:rsid w:val="00111DE0"/>
    <w:rsid w:val="00120373"/>
    <w:rsid w:val="00135E02"/>
    <w:rsid w:val="001371D4"/>
    <w:rsid w:val="00142786"/>
    <w:rsid w:val="00153E45"/>
    <w:rsid w:val="001F0E7F"/>
    <w:rsid w:val="001F3F67"/>
    <w:rsid w:val="001F515A"/>
    <w:rsid w:val="00215A4A"/>
    <w:rsid w:val="0023354C"/>
    <w:rsid w:val="00235F04"/>
    <w:rsid w:val="00262814"/>
    <w:rsid w:val="002B0CB6"/>
    <w:rsid w:val="002C293A"/>
    <w:rsid w:val="002D3056"/>
    <w:rsid w:val="00350A6B"/>
    <w:rsid w:val="003619CB"/>
    <w:rsid w:val="00376912"/>
    <w:rsid w:val="003C118C"/>
    <w:rsid w:val="004000D7"/>
    <w:rsid w:val="00475E86"/>
    <w:rsid w:val="004878A7"/>
    <w:rsid w:val="004A0B51"/>
    <w:rsid w:val="00501C19"/>
    <w:rsid w:val="00504E43"/>
    <w:rsid w:val="00511A5C"/>
    <w:rsid w:val="005129A5"/>
    <w:rsid w:val="0054009D"/>
    <w:rsid w:val="005410C7"/>
    <w:rsid w:val="005448C4"/>
    <w:rsid w:val="005973F9"/>
    <w:rsid w:val="005E2614"/>
    <w:rsid w:val="005F56EB"/>
    <w:rsid w:val="00643289"/>
    <w:rsid w:val="00657158"/>
    <w:rsid w:val="007070ED"/>
    <w:rsid w:val="00755A67"/>
    <w:rsid w:val="00760DAE"/>
    <w:rsid w:val="007869C7"/>
    <w:rsid w:val="007908F4"/>
    <w:rsid w:val="00794555"/>
    <w:rsid w:val="007974F6"/>
    <w:rsid w:val="007B0DE3"/>
    <w:rsid w:val="007C3638"/>
    <w:rsid w:val="007F6D43"/>
    <w:rsid w:val="0080343B"/>
    <w:rsid w:val="008117F2"/>
    <w:rsid w:val="00817AC6"/>
    <w:rsid w:val="00880CE5"/>
    <w:rsid w:val="00881C67"/>
    <w:rsid w:val="008878A1"/>
    <w:rsid w:val="008A16E8"/>
    <w:rsid w:val="008A22C6"/>
    <w:rsid w:val="009138E4"/>
    <w:rsid w:val="0091443D"/>
    <w:rsid w:val="0092739B"/>
    <w:rsid w:val="009344AE"/>
    <w:rsid w:val="00944A56"/>
    <w:rsid w:val="00963B3C"/>
    <w:rsid w:val="0096520F"/>
    <w:rsid w:val="00983205"/>
    <w:rsid w:val="009B4AC3"/>
    <w:rsid w:val="009D57BC"/>
    <w:rsid w:val="009F00B3"/>
    <w:rsid w:val="00A16355"/>
    <w:rsid w:val="00A5175C"/>
    <w:rsid w:val="00A75823"/>
    <w:rsid w:val="00A85021"/>
    <w:rsid w:val="00A9281D"/>
    <w:rsid w:val="00AC2E87"/>
    <w:rsid w:val="00AE7473"/>
    <w:rsid w:val="00AF3669"/>
    <w:rsid w:val="00AF44D6"/>
    <w:rsid w:val="00B21479"/>
    <w:rsid w:val="00B51D02"/>
    <w:rsid w:val="00B7221E"/>
    <w:rsid w:val="00BB1A5A"/>
    <w:rsid w:val="00BC5611"/>
    <w:rsid w:val="00BD3BCE"/>
    <w:rsid w:val="00C07F80"/>
    <w:rsid w:val="00C11DF7"/>
    <w:rsid w:val="00C27D55"/>
    <w:rsid w:val="00C521F6"/>
    <w:rsid w:val="00C54136"/>
    <w:rsid w:val="00C82A08"/>
    <w:rsid w:val="00CC4B59"/>
    <w:rsid w:val="00CE1DAB"/>
    <w:rsid w:val="00CE7E7C"/>
    <w:rsid w:val="00CF210D"/>
    <w:rsid w:val="00CF4F9C"/>
    <w:rsid w:val="00D049A8"/>
    <w:rsid w:val="00D40A0A"/>
    <w:rsid w:val="00D55026"/>
    <w:rsid w:val="00DA4417"/>
    <w:rsid w:val="00DF35EC"/>
    <w:rsid w:val="00E411FE"/>
    <w:rsid w:val="00E44635"/>
    <w:rsid w:val="00E57103"/>
    <w:rsid w:val="00E7473A"/>
    <w:rsid w:val="00E803B0"/>
    <w:rsid w:val="00E876BD"/>
    <w:rsid w:val="00EC1E9C"/>
    <w:rsid w:val="00ED20C9"/>
    <w:rsid w:val="00F05530"/>
    <w:rsid w:val="00F354AF"/>
    <w:rsid w:val="00F849BF"/>
    <w:rsid w:val="00FD302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9A9260"/>
  <w15:docId w15:val="{7401C03A-9EC4-4A97-B4C2-20DD4D3C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16E8"/>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3B04-02CB-435C-A3F4-6E81D45CB56D}">
  <ds:schemaRefs>
    <ds:schemaRef ds:uri="fdb8f1d2-729e-4e17-b922-d1876d49c6d9"/>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3.xml><?xml version="1.0" encoding="utf-8"?>
<ds:datastoreItem xmlns:ds="http://schemas.openxmlformats.org/officeDocument/2006/customXml" ds:itemID="{EC213077-0FCB-4FA5-9B85-8E71A81C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00656-C5D7-444D-A914-9F15F3AF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943</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MITCHELL John</cp:lastModifiedBy>
  <cp:revision>17</cp:revision>
  <dcterms:created xsi:type="dcterms:W3CDTF">2020-11-13T13:47:00Z</dcterms:created>
  <dcterms:modified xsi:type="dcterms:W3CDTF">2021-02-12T15:51:00Z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